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256" w:rsidRPr="00F51D9C" w:rsidRDefault="00205256" w:rsidP="00205256">
      <w:pPr>
        <w:spacing w:line="276" w:lineRule="auto"/>
        <w:jc w:val="center"/>
        <w:rPr>
          <w:sz w:val="28"/>
          <w:szCs w:val="28"/>
        </w:rPr>
      </w:pPr>
      <w:r w:rsidRPr="00F51D9C">
        <w:rPr>
          <w:b/>
          <w:bCs/>
          <w:i/>
          <w:iCs/>
          <w:color w:val="000000"/>
          <w:sz w:val="28"/>
          <w:szCs w:val="28"/>
        </w:rPr>
        <w:t>Департамент промышленности Ханты-Мансийского автономного округа – Югры объявляет о проведении отбора участников (Заявителей) на получение субсидии из бюджета Ханты-Мансийского автономного округа – Югры 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</w:t>
      </w:r>
    </w:p>
    <w:p w:rsidR="00205256" w:rsidRPr="00F51D9C" w:rsidRDefault="00205256" w:rsidP="00205256">
      <w:pPr>
        <w:spacing w:line="276" w:lineRule="auto"/>
        <w:ind w:firstLine="737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sz w:val="28"/>
          <w:szCs w:val="28"/>
        </w:rPr>
        <w:t>1. Срок проведения отбора (дата и время начала (окончания) подачи (приема) Заявок)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 xml:space="preserve">Заявки принимаются </w:t>
      </w:r>
      <w:r w:rsidRPr="00F51D9C">
        <w:rPr>
          <w:color w:val="000000"/>
          <w:sz w:val="28"/>
          <w:szCs w:val="28"/>
        </w:rPr>
        <w:t xml:space="preserve">с 9 часов 00 минут </w:t>
      </w:r>
      <w:r w:rsidR="00397B0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="00397B0A">
        <w:rPr>
          <w:color w:val="000000"/>
          <w:sz w:val="28"/>
          <w:szCs w:val="28"/>
        </w:rPr>
        <w:t>ма</w:t>
      </w:r>
      <w:r>
        <w:rPr>
          <w:color w:val="000000"/>
          <w:sz w:val="28"/>
          <w:szCs w:val="28"/>
        </w:rPr>
        <w:t>я</w:t>
      </w:r>
      <w:r w:rsidRPr="00F51D9C">
        <w:rPr>
          <w:color w:val="000000"/>
          <w:sz w:val="28"/>
          <w:szCs w:val="28"/>
        </w:rPr>
        <w:t xml:space="preserve"> 202</w:t>
      </w:r>
      <w:r w:rsidR="00397B0A">
        <w:rPr>
          <w:color w:val="000000"/>
          <w:sz w:val="28"/>
          <w:szCs w:val="28"/>
        </w:rPr>
        <w:t>3</w:t>
      </w:r>
      <w:r w:rsidRPr="00F51D9C">
        <w:rPr>
          <w:color w:val="000000"/>
          <w:sz w:val="28"/>
          <w:szCs w:val="28"/>
        </w:rPr>
        <w:t xml:space="preserve"> года до </w:t>
      </w:r>
      <w:r>
        <w:rPr>
          <w:color w:val="000000"/>
          <w:sz w:val="28"/>
          <w:szCs w:val="28"/>
        </w:rPr>
        <w:t>1</w:t>
      </w:r>
      <w:r w:rsidR="00397B0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F51D9C">
        <w:rPr>
          <w:color w:val="000000"/>
          <w:sz w:val="28"/>
          <w:szCs w:val="28"/>
        </w:rPr>
        <w:t xml:space="preserve">часов 00 минут </w:t>
      </w:r>
      <w:r>
        <w:rPr>
          <w:color w:val="000000"/>
          <w:sz w:val="28"/>
          <w:szCs w:val="28"/>
        </w:rPr>
        <w:t>1</w:t>
      </w:r>
      <w:r w:rsidR="00397B0A">
        <w:rPr>
          <w:color w:val="000000"/>
          <w:sz w:val="28"/>
          <w:szCs w:val="28"/>
        </w:rPr>
        <w:t>7</w:t>
      </w:r>
      <w:r w:rsidRPr="00F51D9C">
        <w:rPr>
          <w:color w:val="000000"/>
          <w:sz w:val="28"/>
          <w:szCs w:val="28"/>
        </w:rPr>
        <w:t xml:space="preserve"> </w:t>
      </w:r>
      <w:r w:rsidR="00397B0A">
        <w:rPr>
          <w:color w:val="000000"/>
          <w:sz w:val="28"/>
          <w:szCs w:val="28"/>
        </w:rPr>
        <w:t>ма</w:t>
      </w:r>
      <w:r w:rsidRPr="00F51D9C">
        <w:rPr>
          <w:color w:val="000000"/>
          <w:sz w:val="28"/>
          <w:szCs w:val="28"/>
        </w:rPr>
        <w:t>я 202</w:t>
      </w:r>
      <w:r w:rsidR="00397B0A">
        <w:rPr>
          <w:color w:val="000000"/>
          <w:sz w:val="28"/>
          <w:szCs w:val="28"/>
        </w:rPr>
        <w:t>3</w:t>
      </w:r>
      <w:bookmarkStart w:id="0" w:name="_GoBack"/>
      <w:bookmarkEnd w:id="0"/>
      <w:r w:rsidRPr="00F51D9C">
        <w:rPr>
          <w:color w:val="000000"/>
          <w:sz w:val="28"/>
          <w:szCs w:val="28"/>
        </w:rPr>
        <w:t xml:space="preserve"> года.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2. Место нахождения, почтовый адрес и адрес электронной почты, номер контактного телефона Департамента промышленности Ханты-Мансийского автономного округа – Югры (далее – Департамент)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Адрес местонахождения, почтовый адрес: ул. Студенческая, д. 2, </w:t>
      </w:r>
      <w:proofErr w:type="spellStart"/>
      <w:r w:rsidRPr="00F51D9C">
        <w:rPr>
          <w:color w:val="000000"/>
          <w:sz w:val="28"/>
          <w:szCs w:val="28"/>
        </w:rPr>
        <w:t>каб</w:t>
      </w:r>
      <w:proofErr w:type="spellEnd"/>
      <w:r w:rsidRPr="00F51D9C">
        <w:rPr>
          <w:color w:val="000000"/>
          <w:sz w:val="28"/>
          <w:szCs w:val="28"/>
        </w:rPr>
        <w:t>. 172, г. Ханты-Мансийск, Ханты-Мансийский автономный округ – Югра, 628011;</w:t>
      </w:r>
    </w:p>
    <w:p w:rsidR="00205256" w:rsidRPr="00F51D9C" w:rsidRDefault="00205256" w:rsidP="00205256">
      <w:pPr>
        <w:spacing w:line="276" w:lineRule="auto"/>
        <w:ind w:firstLine="737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адрес электронной почты: </w:t>
      </w:r>
      <w:hyperlink r:id="rId4">
        <w:r w:rsidRPr="00F51D9C">
          <w:rPr>
            <w:rStyle w:val="-"/>
            <w:color w:val="000000"/>
            <w:sz w:val="28"/>
            <w:szCs w:val="28"/>
          </w:rPr>
          <w:t>depprom@admhmao.ru</w:t>
        </w:r>
      </w:hyperlink>
      <w:r w:rsidRPr="00F51D9C">
        <w:rPr>
          <w:color w:val="000000"/>
          <w:sz w:val="28"/>
          <w:szCs w:val="28"/>
        </w:rPr>
        <w:t>;</w:t>
      </w:r>
    </w:p>
    <w:p w:rsidR="00205256" w:rsidRPr="00F51D9C" w:rsidRDefault="00205256" w:rsidP="00205256">
      <w:pPr>
        <w:spacing w:line="276" w:lineRule="auto"/>
        <w:ind w:firstLine="737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номер контактного телефона Департамента: 8 (3467) 35-34-04 (доб.3817, 3819).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3. Цель и результат предоставления субсидии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Субсидия предоставляется с целью возмещения части затрат туроператорам автономного округа на участие в региональных, международных туристических выставках, ярмарках, конференциях и иных мероприятиях в сфере туризма (далее – Мероприятие).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Результатом предоставления Субсидии является участие туроператоров автономного округа в региональных, международных туристических выставках, ярмарках, конференциях и иных мероприятиях в сфере туризма. 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Возмещению подлежат расходы на участие в Мероприятиях в размере 60 процентов от понесенных затрат по направлениям затрат: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 xml:space="preserve">- На оплату перевозки не более 1 участника Мероприятия автомобильным транспортом (кроме такси) и (или) железнодорожным транспортом (кроме вагонов класса «Люкс», СВ, РИЦ, 1 класса фирменных поездов), и (или) авиатранспортом (эконом-класс) от места осуществления деятельности (по фактическому адресу в автономном округе) до места </w:t>
      </w:r>
      <w:r w:rsidRPr="00F51D9C">
        <w:rPr>
          <w:sz w:val="28"/>
          <w:szCs w:val="28"/>
        </w:rPr>
        <w:lastRenderedPageBreak/>
        <w:t>размещения и от места размещения к месту проведения Мероприятия и обратно.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>- На оплату проживания не более 1 участника Мероприятия в гостиницах и прочих местах временного или краткосрочного размещения, но не более 3500 рублей в сутки.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Субсидия предоставляется Заявителю не более 1 раза по одному из направлений затрат.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51D9C">
        <w:rPr>
          <w:i/>
          <w:iCs/>
          <w:sz w:val="28"/>
          <w:szCs w:val="28"/>
        </w:rPr>
        <w:t>4. Адрес в информационно-телекоммуникационной сети Интернет, по которому обеспечивается проведение отбора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94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На официальном сайте Департамента промышленности Ханты-Мансийского автономного округа – Югры (www.depprom.admhmao.ru) в разделе «Деятельность/Управление туризма/Предоставление субсидий в сфере туризма», тематическом сайте «Туризм в Югре» (www.tourism.admhmao.ru) в разделе «Государственная поддержка туризма».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5. Требования к Заявителям, указанные в Порядке предоставления субсидии из бюджета Ханты-Мансийского автономного округа – Югры на возмещение части затрат на участие в региональных, международных туристических выставках, ярмарках, конференциях и иных мероприятиях в сфере туризма (Приложение 9 к постановлению Правительства Ханты-Мансийского автономного округа – Югры от 30 декабря 2021 года №638-п) (далее – Порядок), и перечень документов, предоставляемых ими для подтверждения соответствия указанным требованиям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Заявители должны соответствовать следующим требованиям на первое число месяца подачи документов на предоставление Субсидии: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находиться на налоговом учете в автономном округе и осуществлять свою деятельность на его территории;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являться субъектом малого и среднего предпринимательства автономного округа, соответствовать условиям, определенным Федеральным законом от 24 июля 2007 года № 209-ФЗ "О развитии малого и среднего предпринимательства в Российской Федерации";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не иметь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в реестре дисквалифицированных лиц не иметь сведения о дисквалифицированных руководителе, членах коллегиального исполнительного органа, лице, исполняющем функции единоличного </w:t>
      </w:r>
      <w:r w:rsidRPr="00F51D9C">
        <w:rPr>
          <w:color w:val="000000"/>
          <w:sz w:val="28"/>
          <w:szCs w:val="28"/>
        </w:rPr>
        <w:lastRenderedPageBreak/>
        <w:t>исполнительного органа, или главном бухгалтере Заявителя, являющегося юридическим лицом;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не находиться в процессе реорганизации (за исключением реорганизации в форме присоединения к Заявителю другого юридического лица), ликвидации, в отношении них не введена процедура банкротства, не приостановлена деятельность в порядке, предусмотренном законодательством Российской Федерации;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включенных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не иметь просроченную задолженность по возврату в бюджет автономного округа субсидий, бюджетных инвестиций, предоставленных в том числе в соответствии с иными правовыми актами, и иную просроченную задолженность перед бюджетом автономного округа, а также не допускать в течение последних 3 лет нарушений порядка и целевого использования указанных средств;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не получать средства из бюджета автономного округа на основании иных нормативных правовых актов на цель, указанную в пункте 1.1 Порядка.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6. Критерии отбора Заявителей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9C">
        <w:rPr>
          <w:rFonts w:ascii="Times New Roman" w:hAnsi="Times New Roman" w:cs="Times New Roman"/>
          <w:color w:val="000000"/>
          <w:sz w:val="28"/>
          <w:szCs w:val="28"/>
        </w:rPr>
        <w:t>Критериями отбора Заявителей на получение субсидии являются: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D9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51D9C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51D9C">
        <w:rPr>
          <w:rFonts w:ascii="Times New Roman" w:hAnsi="Times New Roman" w:cs="Times New Roman"/>
          <w:color w:val="000000"/>
          <w:sz w:val="28"/>
          <w:szCs w:val="28"/>
        </w:rPr>
        <w:t>Включение Мероприятия в план основных мероприятий, реализуемых Правительством автономного округа и исполнительными органами государственной власти автономного округа на соответствующий год, утвержденный распоряжением Правительства автономного округа.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D9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51D9C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51D9C">
        <w:rPr>
          <w:rFonts w:ascii="Times New Roman" w:hAnsi="Times New Roman" w:cs="Times New Roman"/>
          <w:color w:val="000000"/>
          <w:sz w:val="28"/>
          <w:szCs w:val="28"/>
        </w:rPr>
        <w:t>Включение Мероприятия в план основных мероприятий, реализуемых Департаментом в соответствующем году, утвержденный приказом Департамента.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D9C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F51D9C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51D9C">
        <w:rPr>
          <w:rFonts w:ascii="Times New Roman" w:hAnsi="Times New Roman" w:cs="Times New Roman"/>
          <w:color w:val="000000"/>
          <w:sz w:val="28"/>
          <w:szCs w:val="28"/>
        </w:rPr>
        <w:t>Участие в Мероприятии, проходящем в регионе Российской Федерации, с которым Правительством автономного округа заключено соглашение о сотрудничестве, в том числе в сфере туризма.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1D9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51D9C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51D9C">
        <w:rPr>
          <w:rFonts w:ascii="Times New Roman" w:hAnsi="Times New Roman" w:cs="Times New Roman"/>
          <w:color w:val="000000"/>
          <w:sz w:val="28"/>
          <w:szCs w:val="28"/>
        </w:rPr>
        <w:t>Включение Мероприятия в список крупнейших международных туристских выставок, в которых планируется участие Федерального агентства по туризму в соответствующем году, утвержденный приказом Ростуризма.</w:t>
      </w:r>
    </w:p>
    <w:p w:rsidR="00205256" w:rsidRPr="00F51D9C" w:rsidRDefault="00205256" w:rsidP="00205256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 xml:space="preserve">7. Требования, предъявляемые к форме и содержанию Заявки, </w:t>
      </w:r>
      <w:r w:rsidRPr="00F51D9C">
        <w:rPr>
          <w:i/>
          <w:iCs/>
          <w:sz w:val="28"/>
          <w:szCs w:val="28"/>
        </w:rPr>
        <w:t>в том числе порядок подачи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Для участия в отборе Заявитель представляет в Департамент следующие документы (далее – Предложение Заявителя):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-</w:t>
      </w:r>
      <w:r w:rsidRPr="00F51D9C">
        <w:rPr>
          <w:color w:val="000000"/>
          <w:sz w:val="28"/>
          <w:szCs w:val="28"/>
          <w:lang w:val="en-US"/>
        </w:rPr>
        <w:t> </w:t>
      </w:r>
      <w:r w:rsidRPr="00F51D9C">
        <w:rPr>
          <w:color w:val="000000"/>
          <w:sz w:val="28"/>
          <w:szCs w:val="28"/>
        </w:rPr>
        <w:t>Заявление о предоставлении Субсидии, которое включает, в том числе согласие на публикацию (размещение) в информационно-телекоммуникационной сети Интернет информации о Заявителе, о подаваемом им Предложении Заявителя, иной информации о Заявителе, связанной с проведением отбора, по форме, утвержденной Департаментом.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- Расчет размера Субсидии по форме, утвержденной приказом Департамента.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- Сведения о среднесписочной численности работников Заявителя за предшествующий календарный год, а для Заявителя, зарегистрированного в текущем календарном году, - сведения о среднесписочной численности работников за текущий год.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- Копии документов, подтверждающих факт оплаты затрат по направлениям расходов, указанных в пункте 1.6 Порядка (договоров, счетов на оплату, актов выполненных работ, оказанных услуг, платежных поручений, кассовых чеков, проездных документов или билетов).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- Копии соглашений о реализации туристского продукта (агентский договор) с туроператорами и (или) </w:t>
      </w:r>
      <w:proofErr w:type="spellStart"/>
      <w:r w:rsidRPr="00F51D9C">
        <w:rPr>
          <w:color w:val="000000"/>
          <w:sz w:val="28"/>
          <w:szCs w:val="28"/>
        </w:rPr>
        <w:t>турагентами</w:t>
      </w:r>
      <w:proofErr w:type="spellEnd"/>
      <w:r w:rsidRPr="00F51D9C">
        <w:rPr>
          <w:color w:val="000000"/>
          <w:sz w:val="28"/>
          <w:szCs w:val="28"/>
        </w:rPr>
        <w:t>, поставленными на налоговый учет за пределами автономного округа.</w:t>
      </w:r>
    </w:p>
    <w:p w:rsidR="00205256" w:rsidRPr="00F51D9C" w:rsidRDefault="00205256" w:rsidP="00205256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- Справку о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число месяца подачи Предложения Заявителя.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Департамент в течение 1 рабочего дня со дня регистрации Предложения Заявителя запрашивает в порядке межведомственного информационного взаимодействия, установленного законодательством Российской Федерации, в том числе в целях подтверждения соответствия Заявителя требованиям, установленным пунктом 2.3 Порядка, следующее: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lastRenderedPageBreak/>
        <w:t>сведения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Федеральной налоговой службе Российской Федерации);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выписку из Единого государственного реестра юридических лиц (в Федеральной налоговой службе Российской Федерации);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(в Федеральной налоговой службе Российской Федерации);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свидетельства о внесении сведений в Единый федеральный реестр туроператоров со сферой туроператорской деятельности по внутреннему и (или) въездному туризму (в Едином Федеральном реестре туроператоров).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Указанные документы могут быть представлены Заявителем самостоятельно в день подачи Предложения Заявителя.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Заявитель представляет в Департамент Предложение Заявителя на бумажном носителе непосредственно или почтовым отправлением по адресу: 628011, Ханты-Мансийский автономный округ - Югра, г. Ханты-Мансийск, ул. Студенческая, д. 2, </w:t>
      </w:r>
      <w:proofErr w:type="spellStart"/>
      <w:r w:rsidRPr="00F51D9C">
        <w:rPr>
          <w:color w:val="000000"/>
          <w:sz w:val="28"/>
          <w:szCs w:val="28"/>
        </w:rPr>
        <w:t>каб</w:t>
      </w:r>
      <w:proofErr w:type="spellEnd"/>
      <w:r w:rsidRPr="00F51D9C">
        <w:rPr>
          <w:color w:val="000000"/>
          <w:sz w:val="28"/>
          <w:szCs w:val="28"/>
        </w:rPr>
        <w:t>. 172.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При подаче Предложения Заявителя все листы должны быть пронумерованы и представлены в запечатанном конверте, на котором указываются наименование Заявителя, почтовый адрес и выполняется запись: "На получение субсидии на возмещение части затрат на участие в туристических мероприятиях".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Ответственность за достоверность сведений, содержащихся в Предложении Заявителя, возлагается на Заявителя в соответствии с действующим законодательством Российской Федерации.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8. Порядок отзыва Заявок, их возврата, в том числе основания для такого возврата, порядок внесения изменений в Заявки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Основания для отклонения Предложений Заявителей на стадии их рассмотрения: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- несоответствие Заявителя требованиям, установленным пунктом 2.3 Порядка;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- несоответствие Предложения Заявителя требованиям, установленным в объявлении о проведении отбора;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lastRenderedPageBreak/>
        <w:t>- недостоверность представленной Заявителем информации, в том числе информации о месте нахождения и адресе юридического лица.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- подача Предложения Заявителя позднее установленной даты и (или) времени.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9. Правила рассмотрения и оценки Заявок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Департамент в течение 10 рабочих дней со дня регистрации Предложения Заявителя осуществляет его проверку на соответствие требованиям пунктов 2.4, 2.8 Порядка, а также на соответствие Заявителя требованиям, указанным в пункте 2.3 Порядка, направлениям затрат, установленным пунктом 1.6 Порядка.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Рассмотрение Предложений Заявителей осуществляет Комиссия по их отбору (далее - Комиссия).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color w:val="000000"/>
          <w:sz w:val="28"/>
          <w:szCs w:val="28"/>
        </w:rPr>
        <w:t>Заседания Комиссии проводятся в срок не позднее 15 рабочих дней со дня окончания приема Предложений Заявителей.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По результатам рассмотрения Предложений Заявителей Комиссия принимает решение о соответствии (несоответствии) Заявителя и Предложения Заявителя требованиям Порядка, рекомендации Департаменту предоставить Субсидию и заключить Соглашение либо отказать в предоставлении Субсидии и заключении Соглашения.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Решение оформляется протоколом в течение 1 рабочего дня со дня заседания Комиссии. Протокол подписывают все члены и председатель Комиссии.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Секретарь Комиссии передает протокол в Департамент в течение 1 рабочего дня со дня заседания Комиссии.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>Департамент в срок не позднее 10 рабочих дней с даты получения протокола: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>Оформляет приказом решение о предоставлении Субсидии и заключении Соглашения в соответствии с очередностью регистрации Предложений Заявителей или отказе в предоставлении Субсидии и заключении Соглашения.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t>Решение об отказе в предоставлении Субсидии и заключении Соглашения с приложением выписки из приказа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получения, в том числе посредством официального сайта уполномоченного органа, Единого портала.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sz w:val="28"/>
          <w:szCs w:val="28"/>
        </w:rPr>
        <w:lastRenderedPageBreak/>
        <w:t>Решение о предоставлении Субсидии и заключении Соглашения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его получения, в том числе посредством официального сайта уполномоченного органа, Единого портала.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10. Дата размещения результатов отбора на едином сайте (при наличии технической возможности) и официальном сайте: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Департамент в течение 3 рабочих дней с даты принятия решений, указанных в пункте 2.15 Порядка, размещает на едином портале (при наличии технической возможности) и на своем официальном сайте в информационно-телекоммуникационной сети Интернет (www.depprom.admhmao.ru) в разделе «Деятельность/</w:t>
      </w:r>
      <w:r w:rsidRPr="00F51D9C">
        <w:t xml:space="preserve"> </w:t>
      </w:r>
      <w:r w:rsidRPr="00F51D9C">
        <w:rPr>
          <w:color w:val="000000"/>
          <w:sz w:val="28"/>
          <w:szCs w:val="28"/>
        </w:rPr>
        <w:t>Управление туризма/Предоставление субсидий в сфере туризма» и тематическом сайте (www.tourism.admhmao.ru) в разделе "Государственная поддержка туризма" информацию о результатах рассмотрения Предложений Заявителей с указанием следующих сведений: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дата, время и место проведения рассмотрения Предложений Заявителей;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информация о Заявителях, Предложения которых были рассмотрены;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информация о Заявителях, Предложения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Заявителей;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наименование Заявителей, с которыми заключается Соглашение, размер предоставляемой им Субсидии.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11. Срок, в течение которого Заявитель, в отношении которого принято решение о предоставлении субсидии, должен подписать соглашение о предоставлении субсидии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Для получения Субсидии Получатель средств из бюджета в течение 2 рабочих дней со дня получения проекта Соглашения, составленного в соответствии с типовой формой, утвержденной Департаментом финансов автономного округа: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 xml:space="preserve"> При получении Соглашения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– Югра, г. Ханты-Мансийск ул. Студенческая, д. 2, </w:t>
      </w:r>
      <w:proofErr w:type="spellStart"/>
      <w:r w:rsidRPr="00F51D9C">
        <w:rPr>
          <w:color w:val="000000"/>
          <w:sz w:val="28"/>
          <w:szCs w:val="28"/>
        </w:rPr>
        <w:t>каб</w:t>
      </w:r>
      <w:proofErr w:type="spellEnd"/>
      <w:r w:rsidRPr="00F51D9C">
        <w:rPr>
          <w:color w:val="000000"/>
          <w:sz w:val="28"/>
          <w:szCs w:val="28"/>
        </w:rPr>
        <w:t>. 172.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lastRenderedPageBreak/>
        <w:t>При получении Соглашения в региональной системе подписывает его усиленной квалифицированной электронной подписью и направляет в Департамент для подписания в региональной системе.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12. Условия признания Заявителя, в отношении которого принято решение о предоставлении субсидии, уклонившимся от заключения Соглашения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уведомление Получателю средств из бюджета способом, обеспечивающим подтверждение его получения.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  <w:r w:rsidRPr="00F51D9C">
        <w:rPr>
          <w:i/>
          <w:iCs/>
          <w:color w:val="000000"/>
          <w:sz w:val="28"/>
          <w:szCs w:val="28"/>
        </w:rPr>
        <w:t>13. Лимиты бюджетных обязательств на предоставление субсидии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sz w:val="28"/>
          <w:szCs w:val="28"/>
        </w:rPr>
      </w:pP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В случае превышения заявленных к возмещению сумм над суммами лимитов бюджетных обязательств, предусмотренных бюджетом автономного округа, мероприятие финансируется в пределах остатка лимита бюджетных обязательств при наличии письменного согласия Получателя средств из бюджета.</w:t>
      </w:r>
    </w:p>
    <w:p w:rsidR="00205256" w:rsidRPr="00F51D9C" w:rsidRDefault="00205256" w:rsidP="0020525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51D9C">
        <w:rPr>
          <w:color w:val="000000"/>
          <w:sz w:val="28"/>
          <w:szCs w:val="28"/>
        </w:rPr>
        <w:t>В случае получения части Субсидии в пределах остатка лимита бюджетных ассигнований в текущем финансовом году Получатель средств из бюджета подает Предложение Заявителя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1-е число месяца подачи повторного Предложения Заявителя требованиям, указанным в пункте 2.3 Порядка.</w:t>
      </w:r>
    </w:p>
    <w:p w:rsidR="00205256" w:rsidRDefault="00205256" w:rsidP="00205256">
      <w:pPr>
        <w:spacing w:line="276" w:lineRule="auto"/>
        <w:ind w:firstLine="709"/>
        <w:jc w:val="both"/>
      </w:pPr>
      <w:r w:rsidRPr="00F51D9C">
        <w:rPr>
          <w:sz w:val="28"/>
          <w:szCs w:val="28"/>
        </w:rPr>
        <w:t xml:space="preserve">В Соглашение включаются условия о согласовании новых условий Соглашения или о расторжении Соглашения при </w:t>
      </w:r>
      <w:proofErr w:type="spellStart"/>
      <w:r w:rsidRPr="00F51D9C">
        <w:rPr>
          <w:sz w:val="28"/>
          <w:szCs w:val="28"/>
        </w:rPr>
        <w:t>недостижении</w:t>
      </w:r>
      <w:proofErr w:type="spellEnd"/>
      <w:r w:rsidRPr="00F51D9C">
        <w:rPr>
          <w:sz w:val="28"/>
          <w:szCs w:val="28"/>
        </w:rPr>
        <w:t xml:space="preserve">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521A3F" w:rsidRPr="00205256" w:rsidRDefault="00521A3F" w:rsidP="00205256"/>
    <w:sectPr w:rsidR="00521A3F" w:rsidRPr="00205256">
      <w:pgSz w:w="11906" w:h="16838"/>
      <w:pgMar w:top="851" w:right="934" w:bottom="993" w:left="1559" w:header="709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3F"/>
    <w:rsid w:val="00205256"/>
    <w:rsid w:val="00211830"/>
    <w:rsid w:val="00227608"/>
    <w:rsid w:val="00397B0A"/>
    <w:rsid w:val="003D2064"/>
    <w:rsid w:val="003D526D"/>
    <w:rsid w:val="00512633"/>
    <w:rsid w:val="00521A3F"/>
    <w:rsid w:val="005563F5"/>
    <w:rsid w:val="005C3F34"/>
    <w:rsid w:val="00643D67"/>
    <w:rsid w:val="00694B54"/>
    <w:rsid w:val="006C0C0B"/>
    <w:rsid w:val="006F5BDD"/>
    <w:rsid w:val="00780D44"/>
    <w:rsid w:val="008D50EE"/>
    <w:rsid w:val="00940D7A"/>
    <w:rsid w:val="0094168E"/>
    <w:rsid w:val="00A65CF1"/>
    <w:rsid w:val="00AF5321"/>
    <w:rsid w:val="00CF5CD7"/>
    <w:rsid w:val="00CF6CE4"/>
    <w:rsid w:val="00D57985"/>
    <w:rsid w:val="00EA293D"/>
    <w:rsid w:val="00F358B8"/>
    <w:rsid w:val="00FC3581"/>
    <w:rsid w:val="00FC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8DC4"/>
  <w15:docId w15:val="{17E8D435-68BA-4433-93A2-97B8CFBC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lfaen" w:hAnsi="Sylfaen" w:cs="Sylfae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lfaen" w:hAnsi="Sylfaen" w:cs="Sylfae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lfaen" w:hAnsi="Sylfaen" w:cs="Sylfae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lfaen" w:hAnsi="Sylfaen" w:cs="Sylfae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lfaen" w:hAnsi="Sylfaen" w:cs="Sylfae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lfaen" w:hAnsi="Sylfaen" w:cs="Sylfae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lfaen" w:hAnsi="Sylfaen" w:cs="Sylfae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lfaen" w:hAnsi="Sylfaen" w:cs="Sylfae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lfaen" w:hAnsi="Sylfaen" w:cs="Sylfae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1">
    <w:name w:val="Основной шрифт абзаца1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spanheaderlot21">
    <w:name w:val="span_header_lot_21"/>
    <w:qFormat/>
    <w:rPr>
      <w:b/>
      <w:bCs/>
      <w:sz w:val="20"/>
      <w:szCs w:val="20"/>
    </w:rPr>
  </w:style>
  <w:style w:type="character" w:customStyle="1" w:styleId="labeltextlot21">
    <w:name w:val="label_text_lot_21"/>
    <w:qFormat/>
    <w:rPr>
      <w:color w:val="0000FF"/>
      <w:sz w:val="20"/>
      <w:szCs w:val="20"/>
    </w:rPr>
  </w:style>
  <w:style w:type="character" w:customStyle="1" w:styleId="labelbodytext11">
    <w:name w:val="label_body_text_11"/>
    <w:qFormat/>
    <w:rPr>
      <w:color w:val="0000FF"/>
      <w:sz w:val="20"/>
      <w:szCs w:val="20"/>
    </w:rPr>
  </w:style>
  <w:style w:type="character" w:customStyle="1" w:styleId="spanbodytext21">
    <w:name w:val="span_body_text_21"/>
    <w:qFormat/>
    <w:rPr>
      <w:sz w:val="20"/>
      <w:szCs w:val="20"/>
    </w:rPr>
  </w:style>
  <w:style w:type="character" w:customStyle="1" w:styleId="a3">
    <w:name w:val="Основной текст Знак"/>
    <w:qFormat/>
    <w:rPr>
      <w:sz w:val="24"/>
      <w:szCs w:val="24"/>
    </w:rPr>
  </w:style>
  <w:style w:type="character" w:customStyle="1" w:styleId="2">
    <w:name w:val="Основной текст 2 Знак"/>
    <w:qFormat/>
    <w:rPr>
      <w:sz w:val="24"/>
      <w:szCs w:val="24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a5">
    <w:name w:val="Символ нумерации"/>
    <w:qFormat/>
  </w:style>
  <w:style w:type="character" w:customStyle="1" w:styleId="ListLabel1">
    <w:name w:val="ListLabel 1"/>
    <w:qFormat/>
    <w:rPr>
      <w:color w:val="000000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20"/>
    </w:pPr>
    <w:rPr>
      <w:lang w:val="x-none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qFormat/>
    <w:pPr>
      <w:spacing w:before="280" w:after="280"/>
    </w:p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ac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pPr>
      <w:widowControl w:val="0"/>
      <w:suppressAutoHyphens/>
      <w:ind w:firstLine="720"/>
    </w:pPr>
    <w:rPr>
      <w:rFonts w:ascii="Arial" w:hAnsi="Arial" w:cs="Arial"/>
      <w:sz w:val="24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  <w:rPr>
      <w:lang w:val="x-none"/>
    </w:rPr>
  </w:style>
  <w:style w:type="paragraph" w:customStyle="1" w:styleId="af">
    <w:name w:val="Термин"/>
    <w:basedOn w:val="a"/>
    <w:next w:val="af0"/>
    <w:qFormat/>
    <w:rPr>
      <w:szCs w:val="20"/>
    </w:rPr>
  </w:style>
  <w:style w:type="paragraph" w:customStyle="1" w:styleId="af0">
    <w:name w:val="Список определений"/>
    <w:basedOn w:val="a"/>
    <w:next w:val="af"/>
    <w:qFormat/>
    <w:pPr>
      <w:ind w:left="360"/>
    </w:pPr>
    <w:rPr>
      <w:szCs w:val="20"/>
    </w:rPr>
  </w:style>
  <w:style w:type="paragraph" w:customStyle="1" w:styleId="12">
    <w:name w:val="Обычный1"/>
    <w:qFormat/>
    <w:pPr>
      <w:suppressAutoHyphens/>
    </w:pPr>
    <w:rPr>
      <w:rFonts w:ascii="Arial" w:hAnsi="Arial" w:cs="Arial"/>
      <w:sz w:val="18"/>
      <w:lang w:eastAsia="zh-CN"/>
    </w:rPr>
  </w:style>
  <w:style w:type="paragraph" w:styleId="af1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customStyle="1" w:styleId="ConsNormal">
    <w:name w:val="ConsNormal"/>
    <w:qFormat/>
    <w:pPr>
      <w:suppressAutoHyphens/>
      <w:ind w:right="19772" w:firstLine="720"/>
    </w:pPr>
    <w:rPr>
      <w:rFonts w:ascii="Arial" w:hAnsi="Arial" w:cs="Arial"/>
      <w:sz w:val="24"/>
      <w:lang w:eastAsia="zh-CN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bCs/>
      <w:sz w:val="24"/>
      <w:lang w:eastAsia="zh-CN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prom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ArabadghiSV</dc:creator>
  <dc:description/>
  <cp:lastModifiedBy>Рощупкина Ирина Владимировна</cp:lastModifiedBy>
  <cp:revision>2</cp:revision>
  <cp:lastPrinted>2018-01-10T12:35:00Z</cp:lastPrinted>
  <dcterms:created xsi:type="dcterms:W3CDTF">2023-03-29T12:28:00Z</dcterms:created>
  <dcterms:modified xsi:type="dcterms:W3CDTF">2023-03-29T12:28:00Z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