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2679700</wp:posOffset>
                </wp:positionH>
                <wp:positionV relativeFrom="paragraph">
                  <wp:posOffset>0</wp:posOffset>
                </wp:positionV>
                <wp:extent cx="676800" cy="612000"/>
                <wp:effectExtent l="0" t="0" r="0" b="0"/>
                <wp:wrapTopAndBottom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76800" cy="61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752;o:allowoverlap:true;o:allowincell:true;mso-position-horizontal-relative:margin;margin-left:211.00pt;mso-position-horizontal:absolute;mso-position-vertical-relative:text;margin-top:0.00pt;mso-position-vertical:absolute;width:53.29pt;height:48.19pt;mso-wrap-distance-left:9.00pt;mso-wrap-distance-top:0.00pt;mso-wrap-distance-right:9.00pt;mso-wrap-distance-bottom:0.00pt;" stroked="f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/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ДЕПАРТАМЕНТ </w:t>
      </w:r>
      <w:r>
        <w:rPr>
          <w:b/>
          <w:sz w:val="26"/>
          <w:szCs w:val="26"/>
        </w:rPr>
        <w:t xml:space="preserve">ТРУДА И </w:t>
      </w:r>
      <w:r>
        <w:rPr>
          <w:b/>
          <w:sz w:val="26"/>
          <w:szCs w:val="26"/>
        </w:rPr>
        <w:t xml:space="preserve">ЗАНЯТОСТИ НАСЕЛЕНИЯ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ХАНТЫ-МАНСИЙСКОГО АВТОНОМНОГО ОКРУГА – ЮГРЫ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851"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r>
        <w:t xml:space="preserve">у</w:t>
      </w:r>
      <w:r>
        <w:t xml:space="preserve">л. Карла Маркса, д</w:t>
      </w:r>
      <w:r>
        <w:t xml:space="preserve">ом</w:t>
      </w:r>
      <w:r>
        <w:t xml:space="preserve"> </w:t>
      </w:r>
      <w:r>
        <w:t xml:space="preserve">12, г</w:t>
      </w:r>
      <w:r>
        <w:t xml:space="preserve">. Ханты-Мансийск,</w:t>
      </w:r>
      <w:r>
        <w:t xml:space="preserve">                              Т</w:t>
      </w:r>
      <w:r>
        <w:t xml:space="preserve">елефон: 8(3467) 33-16-09</w:t>
      </w:r>
      <w:r/>
    </w:p>
    <w:p>
      <w:r>
        <w:t xml:space="preserve">Ханты-Мансийский автономный округ - Югра,</w:t>
      </w:r>
      <w:r>
        <w:tab/>
        <w:t xml:space="preserve">                            </w:t>
      </w:r>
      <w:r>
        <w:t xml:space="preserve">Ф</w:t>
      </w:r>
      <w:r>
        <w:t xml:space="preserve">акс:</w:t>
      </w:r>
      <w:r>
        <w:t xml:space="preserve"> </w:t>
      </w:r>
      <w:r>
        <w:t xml:space="preserve">8(3467) 33-08-09</w:t>
      </w:r>
      <w:r/>
    </w:p>
    <w:p>
      <w:pPr>
        <w:rPr>
          <w:iCs/>
        </w:rPr>
        <w:pBdr>
          <w:bottom w:val="single" w:color="000000" w:sz="12" w:space="1"/>
        </w:pBdr>
      </w:pPr>
      <w:r>
        <w:t xml:space="preserve">(</w:t>
      </w:r>
      <w:r>
        <w:t xml:space="preserve">Тюменская область</w:t>
      </w:r>
      <w:r>
        <w:t xml:space="preserve">)</w:t>
      </w:r>
      <w:r>
        <w:t xml:space="preserve">, 628012                                                             </w:t>
      </w:r>
      <w:r>
        <w:rPr>
          <w:iCs/>
          <w:lang w:val="en-US"/>
        </w:rPr>
        <w:t xml:space="preserve">E</w:t>
      </w:r>
      <w:r>
        <w:rPr>
          <w:iCs/>
        </w:rPr>
        <w:t xml:space="preserve">-</w:t>
      </w:r>
      <w:r>
        <w:rPr>
          <w:iCs/>
          <w:lang w:val="en-US"/>
        </w:rPr>
        <w:t xml:space="preserve">mail</w:t>
      </w:r>
      <w:r>
        <w:rPr>
          <w:iCs/>
        </w:rPr>
        <w:t xml:space="preserve">: </w:t>
      </w:r>
      <w:hyperlink r:id="rId13" w:tooltip="mailto:dtzn@admhmao.ru" w:history="1">
        <w:r>
          <w:t xml:space="preserve">dtzn@admhmao.ru</w:t>
        </w:r>
      </w:hyperlink>
      <w:r>
        <w:rPr>
          <w:iCs/>
        </w:rPr>
      </w:r>
      <w:r>
        <w:rPr>
          <w:iCs/>
        </w:rPr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114"/>
        <w:gridCol w:w="5384"/>
      </w:tblGrid>
      <w:tr>
        <w:tblPrEx/>
        <w:trPr/>
        <w:tc>
          <w:tcPr>
            <w:shd w:val="clear" w:color="auto" w:fill="auto"/>
            <w:tcW w:w="4114" w:type="dxa"/>
            <w:textDirection w:val="lrTb"/>
            <w:noWrap w:val="false"/>
          </w:tcPr>
          <w:p>
            <w:pPr>
              <w:rPr>
                <w:rFonts w:eastAsia="Calibri"/>
                <w:color w:val="d9d9d9"/>
                <w:sz w:val="28"/>
                <w:szCs w:val="28"/>
              </w:rPr>
            </w:pPr>
            <w:r>
              <w:rPr>
                <w:rFonts w:eastAsia="Calibri"/>
                <w:color w:val="d9d9d9"/>
                <w:sz w:val="28"/>
                <w:szCs w:val="28"/>
              </w:rPr>
            </w:r>
            <w:r>
              <w:rPr>
                <w:rFonts w:eastAsia="Calibri"/>
                <w:color w:val="d9d9d9"/>
                <w:sz w:val="28"/>
                <w:szCs w:val="28"/>
              </w:rPr>
            </w:r>
            <w:r>
              <w:rPr>
                <w:rFonts w:eastAsia="Calibri"/>
                <w:color w:val="d9d9d9"/>
                <w:sz w:val="28"/>
                <w:szCs w:val="28"/>
              </w:rPr>
            </w:r>
          </w:p>
          <w:p>
            <w:pPr>
              <w:rPr>
                <w:rFonts w:eastAsia="Calibri"/>
                <w:color w:val="d9d9d9"/>
                <w:sz w:val="28"/>
                <w:szCs w:val="28"/>
              </w:rPr>
            </w:pPr>
            <w:r>
              <w:rPr>
                <w:rFonts w:eastAsia="Calibri"/>
                <w:color w:val="d9d9d9"/>
                <w:sz w:val="28"/>
                <w:szCs w:val="28"/>
              </w:rPr>
              <w:t xml:space="preserve">[Номер документа]</w:t>
            </w:r>
            <w:r>
              <w:rPr>
                <w:rFonts w:eastAsia="Calibri"/>
                <w:color w:val="d9d9d9"/>
                <w:sz w:val="28"/>
                <w:szCs w:val="28"/>
              </w:rPr>
            </w:r>
            <w:r>
              <w:rPr>
                <w:rFonts w:eastAsia="Calibri"/>
                <w:color w:val="d9d9d9"/>
                <w:sz w:val="28"/>
                <w:szCs w:val="28"/>
              </w:rPr>
            </w:r>
          </w:p>
          <w:p>
            <w:pPr>
              <w:rPr>
                <w:rFonts w:eastAsia="Calibri"/>
                <w:color w:val="d9d9d9"/>
                <w:sz w:val="28"/>
                <w:szCs w:val="28"/>
                <w:lang w:val="en-US"/>
              </w:rPr>
            </w:pPr>
            <w:r>
              <w:rPr>
                <w:rFonts w:eastAsia="Calibri"/>
                <w:color w:val="d9d9d9"/>
                <w:sz w:val="28"/>
                <w:szCs w:val="28"/>
                <w:lang w:val="en-US"/>
              </w:rPr>
              <w:t xml:space="preserve">[</w:t>
            </w:r>
            <w:r>
              <w:rPr>
                <w:rFonts w:eastAsia="Calibri"/>
                <w:color w:val="d9d9d9"/>
                <w:sz w:val="28"/>
                <w:szCs w:val="28"/>
              </w:rPr>
              <w:t xml:space="preserve">Дата документа</w:t>
            </w:r>
            <w:r>
              <w:rPr>
                <w:rFonts w:eastAsia="Calibri"/>
                <w:color w:val="d9d9d9"/>
                <w:sz w:val="28"/>
                <w:szCs w:val="28"/>
                <w:lang w:val="en-US"/>
              </w:rPr>
              <w:t xml:space="preserve">]</w:t>
            </w:r>
            <w:r>
              <w:rPr>
                <w:rFonts w:eastAsia="Calibri"/>
                <w:color w:val="d9d9d9"/>
                <w:sz w:val="28"/>
                <w:szCs w:val="28"/>
                <w:lang w:val="en-US"/>
              </w:rPr>
            </w:r>
            <w:r>
              <w:rPr>
                <w:rFonts w:eastAsia="Calibri"/>
                <w:color w:val="d9d9d9"/>
                <w:sz w:val="28"/>
                <w:szCs w:val="28"/>
                <w:lang w:val="en-US"/>
              </w:rPr>
            </w:r>
          </w:p>
          <w:p>
            <w:pPr>
              <w:tabs>
                <w:tab w:val="right" w:pos="4784" w:leader="none"/>
              </w:tabs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auto" w:fill="auto"/>
            <w:tcW w:w="5384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проекту постановления Губернатора Ханты-Мансийского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автономного округа – Югры «Об установлении на 202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6 год запрета на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привлечение хозяйствующими субъектами, осуществляющими деятельность в Ханты-Мансийском автономном округе – Югре, иностранных граждан, осуществляющих трудовую деятельность на основании патентов, по отдельным видам экономической </w:t>
      </w:r>
      <w:r>
        <w:rPr>
          <w:sz w:val="28"/>
          <w:szCs w:val="28"/>
        </w:rPr>
        <w:t xml:space="preserve">деятельности»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Проект постановления Губернатора Ханты-Мансийского автономного округа – Югры (далее – автономный округ) «Об установлении на 202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6 год запрета 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привлечение хозяйствующими субъектами, осуществляющими деятельность в Ханты-Мансийском автономном округе – Югре, иностранных граждан, осуществляющих трудовую деятельность на основании патентов, по отдельным видам экономической деятельности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(далее – Проект, запрет) подготовлен в соответствии с пунктом 6 статьи 18.1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Федерального закона от 25.07.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2002 № 115-ФЗ «О правовом положении иностранных граждан в Российской Федерации» (далее – Федеральный закон 115-ФЗ), постановлением Правительства Российской Федерации 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.12.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2015 № 1327 «Об утверждении Правил определения срока приведения хозяйствующими субъектами</w:t>
      </w:r>
      <w:r>
        <w:rPr>
          <w:rFonts w:ascii="Times New Roman" w:hAnsi="Times New Roman" w:cs="Times New Roman"/>
          <w:b w:val="0"/>
          <w:spacing w:val="2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осуществляющими деятельность на территории субъекта Российской Федерации, численности используемых ими иностранных работников в соответствии с запретом на привлечение такими хозяйствующими субъектами иностранных граждан, осуществляющих трудов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ую деятельность на основании патентов, по отдельным видам экономической деятельности, установленным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Федерации)»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(далее – Постановление Правительства № 1327).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Проектом предлагается продлить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на 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6 год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действие запретов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, установленных постановлением Губернатора автономного округа от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29.1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4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№ 147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на 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5 год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и дополнить новыми видами деятельности, связанными с традиционным образом жизни коренных малочисленных народов Севера (согласованы с отраслевыми исполнительными органами), а также курьерской деятельностью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согласно приложению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рок приведения хозяйствующими субъектами численности используемых иностранных работников в соответствие с устанавливаемыми запретами предусмотрен с учетом соблюдения положений трудового законодательства, и Постановления Правительства № 1327 до 1 января 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5 года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Проект подготовлен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 учетом региональных особенностей рынка труда, а также с целью обеспечения охраны здоровья и безопа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сности населения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поддержания качественного уровня образования и развития детей, за счет исключения низкоквалифицированных иностранных работников в сфере образования, здравоохранения, деятельности по предоставлению продуктов питания и напитков населению автономного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а также предоставления услуг в сфере пассажирских перевозок, жкх и бытового обслуживания населения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line="240" w:lineRule="auto"/>
        <w:tabs>
          <w:tab w:val="left" w:pos="709" w:leader="none"/>
        </w:tabs>
        <w:rPr>
          <w:bCs w:val="0"/>
          <w:i w:val="0"/>
          <w:sz w:val="28"/>
          <w:szCs w:val="28"/>
        </w:rPr>
      </w:pPr>
      <w:r>
        <w:rPr>
          <w:i w:val="0"/>
          <w:iCs w:val="0"/>
          <w:sz w:val="28"/>
          <w:szCs w:val="28"/>
          <w:highlight w:val="white"/>
        </w:rPr>
        <w:t xml:space="preserve">На</w:t>
      </w:r>
      <w:r>
        <w:rPr>
          <w:i w:val="0"/>
          <w:iCs w:val="0"/>
          <w:sz w:val="28"/>
          <w:szCs w:val="28"/>
          <w:highlight w:val="white"/>
        </w:rPr>
        <w:t xml:space="preserve"> региональном рынке труда</w:t>
      </w:r>
      <w:r>
        <w:rPr>
          <w:i w:val="0"/>
          <w:iCs w:val="0"/>
          <w:sz w:val="28"/>
          <w:szCs w:val="28"/>
          <w:highlight w:val="white"/>
        </w:rPr>
        <w:t xml:space="preserve"> по </w:t>
      </w:r>
      <w:r>
        <w:rPr>
          <w:bCs/>
          <w:i w:val="0"/>
          <w:iCs w:val="0"/>
          <w:sz w:val="28"/>
          <w:szCs w:val="28"/>
          <w:highlight w:val="white"/>
        </w:rPr>
        <w:t xml:space="preserve">состоянию на </w:t>
      </w:r>
      <w:r>
        <w:rPr>
          <w:bCs/>
          <w:i w:val="0"/>
          <w:iCs w:val="0"/>
          <w:sz w:val="28"/>
          <w:szCs w:val="28"/>
          <w:highlight w:val="white"/>
        </w:rPr>
        <w:t xml:space="preserve">01.</w:t>
      </w:r>
      <w:r>
        <w:rPr>
          <w:bCs/>
          <w:i w:val="0"/>
          <w:iCs w:val="0"/>
          <w:sz w:val="28"/>
          <w:szCs w:val="28"/>
          <w:highlight w:val="white"/>
        </w:rPr>
        <w:t xml:space="preserve">07.202</w:t>
      </w:r>
      <w:r>
        <w:rPr>
          <w:bCs/>
          <w:i w:val="0"/>
          <w:iCs w:val="0"/>
          <w:sz w:val="28"/>
          <w:szCs w:val="28"/>
          <w:highlight w:val="white"/>
        </w:rPr>
        <w:t xml:space="preserve">5: </w:t>
      </w:r>
      <w:r>
        <w:rPr>
          <w:bCs w:val="0"/>
          <w:i w:val="0"/>
          <w:sz w:val="28"/>
          <w:szCs w:val="28"/>
        </w:rPr>
      </w:r>
      <w:r>
        <w:rPr>
          <w:bCs w:val="0"/>
          <w:i w:val="0"/>
          <w:sz w:val="28"/>
          <w:szCs w:val="28"/>
        </w:rPr>
      </w:r>
    </w:p>
    <w:p>
      <w:pPr>
        <w:pStyle w:val="882"/>
        <w:ind w:firstLine="708"/>
        <w:jc w:val="both"/>
        <w:spacing w:before="0" w:beforeAutospacing="0" w:after="0" w:afterAutospacing="0" w:line="240" w:lineRule="auto"/>
        <w:rPr>
          <w:bCs w:val="0"/>
          <w:i w:val="0"/>
          <w:color w:val="auto"/>
          <w:sz w:val="28"/>
          <w:szCs w:val="28"/>
          <w:highlight w:val="white"/>
        </w:rPr>
      </w:pPr>
      <w:r>
        <w:rPr>
          <w:i w:val="0"/>
          <w:iCs w:val="0"/>
          <w:sz w:val="28"/>
          <w:szCs w:val="28"/>
          <w:highlight w:val="white"/>
        </w:rPr>
        <w:t xml:space="preserve">Численность граждан, обратившихся за содействием в поиске подходящей работы в органы службы занятости, составила 3104</w:t>
      </w:r>
      <w:r>
        <w:rPr>
          <w:i w:val="0"/>
          <w:iCs w:val="0"/>
          <w:sz w:val="28"/>
          <w:szCs w:val="28"/>
          <w:highlight w:val="white"/>
        </w:rPr>
        <w:t xml:space="preserve"> человек, что</w:t>
      </w:r>
      <w:r>
        <w:rPr>
          <w:i w:val="0"/>
          <w:iCs w:val="0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на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2,1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%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или на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68 человек меньше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,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чем на аналогичную дату предыдущего года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(3172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человека)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.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i w:val="0"/>
          <w:iCs w:val="0"/>
          <w:sz w:val="28"/>
          <w:szCs w:val="28"/>
          <w:highlight w:val="white"/>
        </w:rPr>
        <w:t xml:space="preserve">Из н</w:t>
      </w:r>
      <w:r>
        <w:rPr>
          <w:i w:val="0"/>
          <w:iCs w:val="0"/>
          <w:sz w:val="28"/>
          <w:szCs w:val="28"/>
          <w:highlight w:val="white"/>
        </w:rPr>
        <w:t xml:space="preserve">их: </w:t>
      </w:r>
      <w:r>
        <w:rPr>
          <w:i w:val="0"/>
          <w:iCs w:val="0"/>
          <w:sz w:val="28"/>
          <w:szCs w:val="28"/>
          <w:highlight w:val="white"/>
        </w:rPr>
        <w:t xml:space="preserve">2940 человек</w:t>
      </w:r>
      <w:r>
        <w:rPr>
          <w:i w:val="0"/>
          <w:iCs w:val="0"/>
          <w:sz w:val="28"/>
          <w:szCs w:val="28"/>
          <w:highlight w:val="white"/>
        </w:rPr>
        <w:t xml:space="preserve"> – не занятые трудовой</w:t>
      </w:r>
      <w:r>
        <w:rPr>
          <w:i w:val="0"/>
          <w:iCs w:val="0"/>
          <w:sz w:val="28"/>
          <w:szCs w:val="28"/>
          <w:highlight w:val="white"/>
        </w:rPr>
        <w:t xml:space="preserve"> деятельностью, из которых 1913</w:t>
      </w:r>
      <w:r>
        <w:rPr>
          <w:i w:val="0"/>
          <w:iCs w:val="0"/>
          <w:sz w:val="28"/>
          <w:szCs w:val="28"/>
          <w:highlight w:val="white"/>
        </w:rPr>
        <w:t xml:space="preserve"> человек с официальным статусом безработного.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По сравнению с аналогичной датой предыдущего года число граждан, не занятых трудовой деятельностью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снизилос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ь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на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3,5 %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, а безработны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х граждан –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на 5,9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%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(на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01.07.2024 –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3048 и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2034 человек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соответственно).</w:t>
      </w:r>
      <w:r>
        <w:rPr>
          <w:bCs w:val="0"/>
          <w:i w:val="0"/>
          <w:color w:val="auto"/>
          <w:sz w:val="28"/>
          <w:szCs w:val="28"/>
          <w:highlight w:val="white"/>
        </w:rPr>
      </w:r>
      <w:r>
        <w:rPr>
          <w:bCs w:val="0"/>
          <w:i w:val="0"/>
          <w:color w:val="auto"/>
          <w:sz w:val="28"/>
          <w:szCs w:val="28"/>
          <w:highlight w:val="white"/>
        </w:rPr>
      </w:r>
    </w:p>
    <w:p>
      <w:pPr>
        <w:pStyle w:val="882"/>
        <w:ind w:firstLine="708"/>
        <w:jc w:val="both"/>
        <w:spacing w:before="0" w:beforeAutospacing="0" w:after="0" w:afterAutospacing="0" w:line="240" w:lineRule="auto"/>
        <w:rPr>
          <w:bCs w:val="0"/>
          <w:i w:val="0"/>
          <w:color w:val="auto"/>
          <w:sz w:val="28"/>
          <w:szCs w:val="28"/>
          <w:highlight w:val="white"/>
        </w:rPr>
      </w:pPr>
      <w:r>
        <w:rPr>
          <w:i w:val="0"/>
          <w:iCs w:val="0"/>
          <w:color w:val="auto"/>
          <w:sz w:val="28"/>
          <w:szCs w:val="28"/>
          <w:highlight w:val="white"/>
        </w:rPr>
        <w:t xml:space="preserve">Потребность в раб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отниках, заявленная работодателями в органы службы занятости, составила 23055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свободных рабочих мест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(вакантных должностей).</w:t>
      </w:r>
      <w:r>
        <w:rPr>
          <w:bCs w:val="0"/>
          <w:i w:val="0"/>
          <w:color w:val="auto"/>
          <w:sz w:val="28"/>
          <w:szCs w:val="28"/>
          <w:highlight w:val="white"/>
        </w:rPr>
      </w:r>
      <w:r>
        <w:rPr>
          <w:bCs w:val="0"/>
          <w:i w:val="0"/>
          <w:color w:val="auto"/>
          <w:sz w:val="28"/>
          <w:szCs w:val="28"/>
          <w:highlight w:val="white"/>
        </w:rPr>
      </w:r>
    </w:p>
    <w:p>
      <w:pPr>
        <w:pStyle w:val="882"/>
        <w:ind w:firstLine="708"/>
        <w:jc w:val="both"/>
        <w:spacing w:before="0" w:beforeAutospacing="0" w:after="0" w:afterAutospacing="0" w:line="240" w:lineRule="auto"/>
        <w:rPr>
          <w:bCs w:val="0"/>
          <w:i w:val="0"/>
          <w:color w:val="auto"/>
          <w:sz w:val="28"/>
          <w:szCs w:val="28"/>
          <w:highlight w:val="white"/>
        </w:rPr>
      </w:pPr>
      <w:r>
        <w:rPr>
          <w:i w:val="0"/>
          <w:iCs w:val="0"/>
          <w:color w:val="auto"/>
          <w:sz w:val="28"/>
          <w:szCs w:val="28"/>
          <w:highlight w:val="white"/>
        </w:rPr>
        <w:t xml:space="preserve">По сравнению с аналогичной датой предыдущего года количество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вакансий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у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меньшилось на 3992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ед. или на 14,8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% (на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01.07.2024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– 27047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ед.).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  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  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         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bCs w:val="0"/>
          <w:i w:val="0"/>
          <w:color w:val="auto"/>
          <w:sz w:val="28"/>
          <w:szCs w:val="28"/>
          <w:highlight w:val="white"/>
        </w:rPr>
      </w:r>
      <w:r>
        <w:rPr>
          <w:bCs w:val="0"/>
          <w:i w:val="0"/>
          <w:color w:val="auto"/>
          <w:sz w:val="28"/>
          <w:szCs w:val="28"/>
          <w:highlight w:val="white"/>
        </w:rPr>
      </w:r>
    </w:p>
    <w:p>
      <w:pPr>
        <w:pStyle w:val="882"/>
        <w:ind w:firstLine="708"/>
        <w:jc w:val="both"/>
        <w:spacing w:before="0" w:beforeAutospacing="0" w:after="0" w:afterAutospacing="0" w:line="240" w:lineRule="auto"/>
        <w:rPr>
          <w:bCs w:val="0"/>
          <w:i w:val="0"/>
          <w:color w:val="auto"/>
          <w:sz w:val="28"/>
          <w:szCs w:val="28"/>
          <w:highlight w:val="white"/>
        </w:rPr>
      </w:pPr>
      <w:r>
        <w:rPr>
          <w:i w:val="0"/>
          <w:iCs w:val="0"/>
          <w:color w:val="auto"/>
          <w:sz w:val="28"/>
          <w:szCs w:val="28"/>
          <w:highlight w:val="white"/>
        </w:rPr>
        <w:t xml:space="preserve">К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оэф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фициент напряженности на 01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.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07.2025 составляет 0,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13 незанятых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граждан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на 1 вакансию </w:t>
      </w:r>
      <w:r>
        <w:rPr>
          <w:bCs w:val="0"/>
          <w:i w:val="0"/>
          <w:color w:val="auto"/>
          <w:sz w:val="28"/>
          <w:szCs w:val="28"/>
          <w:highlight w:val="white"/>
        </w:rPr>
        <w:t xml:space="preserve">(на 01.07.2024 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–</w:t>
      </w:r>
      <w:r>
        <w:rPr>
          <w:bCs w:val="0"/>
          <w:i w:val="0"/>
          <w:color w:val="auto"/>
          <w:sz w:val="28"/>
          <w:szCs w:val="28"/>
          <w:highlight w:val="white"/>
        </w:rPr>
        <w:t xml:space="preserve"> 0,11)</w:t>
      </w:r>
      <w:r>
        <w:rPr>
          <w:bCs w:val="0"/>
          <w:i w:val="0"/>
          <w:color w:val="auto"/>
          <w:sz w:val="28"/>
          <w:szCs w:val="28"/>
          <w:highlight w:val="white"/>
        </w:rPr>
        <w:t xml:space="preserve">.</w:t>
      </w:r>
      <w:r>
        <w:rPr>
          <w:bCs w:val="0"/>
          <w:i w:val="0"/>
          <w:color w:val="auto"/>
          <w:sz w:val="28"/>
          <w:szCs w:val="28"/>
          <w:highlight w:val="white"/>
        </w:rPr>
      </w:r>
      <w:r>
        <w:rPr>
          <w:bCs w:val="0"/>
          <w:i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bCs w:val="0"/>
          <w:i w:val="0"/>
          <w:iCs/>
          <w:sz w:val="28"/>
          <w:szCs w:val="28"/>
          <w:highlight w:val="white"/>
        </w:rPr>
      </w:pPr>
      <w:r>
        <w:rPr>
          <w:i w:val="0"/>
          <w:iCs w:val="0"/>
          <w:sz w:val="28"/>
          <w:szCs w:val="28"/>
          <w:highlight w:val="white"/>
        </w:rPr>
        <w:t xml:space="preserve">По информации Управления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 (Тюменьстат), среднемесячная </w:t>
      </w:r>
      <w:r>
        <w:rPr>
          <w:i w:val="0"/>
          <w:iCs w:val="0"/>
          <w:sz w:val="28"/>
          <w:szCs w:val="28"/>
          <w:highlight w:val="white"/>
        </w:rPr>
        <w:t xml:space="preserve">номинальная </w:t>
      </w:r>
      <w:r>
        <w:rPr>
          <w:i w:val="0"/>
          <w:iCs w:val="0"/>
          <w:sz w:val="28"/>
          <w:szCs w:val="28"/>
          <w:highlight w:val="white"/>
        </w:rPr>
        <w:t xml:space="preserve">начисленная заработная плата работников </w:t>
      </w:r>
      <w:r>
        <w:rPr>
          <w:i w:val="0"/>
          <w:iCs w:val="0"/>
          <w:sz w:val="28"/>
          <w:szCs w:val="28"/>
          <w:highlight w:val="white"/>
        </w:rPr>
        <w:t xml:space="preserve">организаций </w:t>
      </w:r>
      <w:r>
        <w:rPr>
          <w:i w:val="0"/>
          <w:iCs w:val="0"/>
          <w:sz w:val="28"/>
          <w:szCs w:val="28"/>
          <w:highlight w:val="white"/>
        </w:rPr>
        <w:t xml:space="preserve">по всем сферам деятельности, в которых продлевается запрет, выросла за период с января по </w:t>
      </w:r>
      <w:r>
        <w:rPr>
          <w:i w:val="0"/>
          <w:iCs w:val="0"/>
          <w:sz w:val="28"/>
          <w:szCs w:val="28"/>
          <w:highlight w:val="white"/>
        </w:rPr>
        <w:t xml:space="preserve">март 2025</w:t>
      </w:r>
      <w:r>
        <w:rPr>
          <w:i w:val="0"/>
          <w:iCs w:val="0"/>
          <w:sz w:val="28"/>
          <w:szCs w:val="28"/>
          <w:highlight w:val="white"/>
        </w:rPr>
        <w:t xml:space="preserve"> года по сравнению с аналогичным периодом прошлого года</w:t>
      </w:r>
      <w:r>
        <w:rPr>
          <w:bCs w:val="0"/>
          <w:i w:val="0"/>
          <w:iCs/>
          <w:sz w:val="28"/>
          <w:szCs w:val="28"/>
          <w:highlight w:val="white"/>
        </w:rPr>
        <w:t xml:space="preserve">.</w:t>
      </w:r>
      <w:r>
        <w:rPr>
          <w:bCs w:val="0"/>
          <w:i w:val="0"/>
          <w:iCs/>
          <w:sz w:val="28"/>
          <w:szCs w:val="28"/>
          <w:highlight w:val="white"/>
        </w:rPr>
      </w:r>
      <w:r>
        <w:rPr>
          <w:bCs w:val="0"/>
          <w:i w:val="0"/>
          <w:iCs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Установление запрета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способствуе</w:t>
      </w:r>
      <w:r>
        <w:rPr>
          <w:sz w:val="28"/>
          <w:szCs w:val="28"/>
        </w:rPr>
        <w:t xml:space="preserve">т достижению целей принятия проекта: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сохранению баланса трудовых ресурсов в регионе;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содействию трудоустройства российских граждан;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повышению уровня благосостояния граждан за счет улучшения условий труда и увеличения заработной платы;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- позволяют минимизировать риски причинения вреда жизни и здоровью граждан, так как устанавливаются на опережение негативных событий, не зависимо от того были прецеденты ранее или нет.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Установление запрета на привлечение иностранных </w:t>
      </w:r>
      <w:r>
        <w:rPr>
          <w:sz w:val="28"/>
          <w:szCs w:val="28"/>
          <w:highlight w:val="none"/>
        </w:rPr>
        <w:t xml:space="preserve">работников в отдельных видах экономической деятельности в настоящее время является одним из наименее затратных для регионального бюджета организационных мер формирования рабочих мест для граждан Российской Федерации в отсутствие иных способов их появления.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Проектом затрагиваются интересы р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 xml:space="preserve">аботодателей, использующих труд иностранных граждан, осуществляющих трудовую деятельность на основании патента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по видам экономической деятельности, предлагаемым к установлению запрета.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iCs/>
          <w:sz w:val="28"/>
          <w:szCs w:val="28"/>
          <w:highlight w:val="white"/>
        </w:rPr>
        <w:t xml:space="preserve">виду того, что частично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аналогичные запреты устан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авливались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на 2019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–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5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годы и незначительное количество иностранных работников привлекаемых по видам деятельности, в которых запрет предлагает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ся установить впервы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е (по данным УМВД России по автономному округу за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ериод с 1 января по 30 июня 2025 года уведомления о привлечении к трудовой деятельности по указанным видам деятельности представлены на 27 иностранных работников от 4 работодателей),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становление на 202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6 год запрета по предлагаемым видам деятельности не повлечет за собой расходов для работодателей.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07"/>
        <w:ind w:firstLine="708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руппами потенциальных адресатов правового регулирования являются 174 субъекта предпринимательства, осуществляющих деятель</w:t>
      </w:r>
      <w:r>
        <w:rPr>
          <w:sz w:val="28"/>
          <w:szCs w:val="28"/>
        </w:rPr>
        <w:t xml:space="preserve">ность в сфере действия предлагаемых к установлению запретов.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здержки субъектов предпринимательской деятельности в связи с приведением численности иностранных работников в соответствие с предлагаемым правовым регулированием, а также расходы бюджета автономного округа отсутствуют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удовлетворения потребности в квалифицированных специалистах работодатели, могут: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 Использовать трудовые ресурсы из числа местного населения, состоящих на учете в службе занятости населения в качестве ищущих работу и выпускников п</w:t>
      </w:r>
      <w:r>
        <w:rPr>
          <w:rFonts w:eastAsia="Calibri"/>
          <w:sz w:val="28"/>
          <w:szCs w:val="28"/>
        </w:rPr>
        <w:t xml:space="preserve">рофессиональных учебных заведений автономного округа.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spacing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Привлекать к трудовой деятельности иностранных граждан, запреты на которых не распространяются: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имеющих разрешение на временное проживание</w:t>
      </w:r>
      <w:r>
        <w:rPr>
          <w:sz w:val="28"/>
          <w:szCs w:val="28"/>
        </w:rPr>
        <w:t xml:space="preserve"> в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имеющих вид на жительство</w:t>
      </w:r>
      <w:r>
        <w:rPr>
          <w:sz w:val="28"/>
          <w:szCs w:val="28"/>
        </w:rPr>
        <w:t xml:space="preserve"> в Российской Федерации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граждан стран участниц Договора о Евразийском экономическом союзе (Армения, Белоруссия, Киргизия, Казахстан).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886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</w:rPr>
        <w:t xml:space="preserve">. Привлекать иностранных работников в качестве высококвалифицированных специалистов в соответствии с Федеральным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законом 115-ФЗ;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bCs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4</w:t>
      </w:r>
      <w:r>
        <w:rPr>
          <w:rFonts w:eastAsia="Calibri"/>
          <w:sz w:val="28"/>
          <w:szCs w:val="28"/>
        </w:rPr>
        <w:t xml:space="preserve">. </w:t>
      </w:r>
      <w:r>
        <w:rPr>
          <w:sz w:val="28"/>
          <w:szCs w:val="28"/>
        </w:rPr>
        <w:t xml:space="preserve">По неквалифицированным специальностям, не требующим специального образования работодатели могут привлекать любых граждан без ограничений по здоровью (на учете в службе занятости населения в качестве безработных</w:t>
      </w:r>
      <w:r>
        <w:rPr>
          <w:bCs/>
          <w:sz w:val="28"/>
          <w:szCs w:val="28"/>
        </w:rPr>
        <w:t xml:space="preserve"> для которых профессии неквалифицированных рабочих являются подходящими.</w:t>
      </w:r>
      <w:r>
        <w:rPr>
          <w:bCs/>
          <w:sz w:val="28"/>
          <w:szCs w:val="28"/>
          <w:highlight w:val="yellow"/>
        </w:rPr>
      </w:r>
      <w:r>
        <w:rPr>
          <w:bCs/>
          <w:sz w:val="28"/>
          <w:szCs w:val="28"/>
          <w:highlight w:val="yellow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Установление запретов позволяет регулировать приток иностранных работников в отдельных видах экономической деятельности в автономном округе.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Запреты на привлечение иностранных работников в сферы деятельности, непосредственно связанные с безопасностью граждан (розничная торговля алкогольными напитками (включая пиво) и табачными изделиями в специализированных магазинах, деятельност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 автобусного транспорта по регулярным внутригор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одским и пригородным пассажирским перевозкам и деятельность такси, сфера образования и производства детского питания, общественное питание, бытовое обслуживание населения, уход за детьми), позволят минимизировать риски причинения вреда их жизни и здоровью.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Риски несоблюдения работодателями запрета минимальны и могут проявиться в нежелании работодателей соблюдать установленные ограничения в привлечении иностранных работников на основании патента.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8"/>
        <w:ind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Контроль за соблюдением устанавливаемых ограничений продолжит осуществлять УМВД России по автономному округу в рамках своей текущей деятельности посредством про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ведения проверочных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 статье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18.17 КоАП РФ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2022 году выявлено 96 административных правонарушений, в 2023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243 , в 2024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314,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за 5 месяцев 2025 года (на 27.05.2025)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 57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b w:val="0"/>
          <w:bCs w:val="0"/>
          <w:color w:val="auto"/>
          <w:sz w:val="28"/>
          <w:szCs w:val="28"/>
          <w:highlight w:val="none"/>
        </w:rPr>
        <w:t xml:space="preserve">В целях изучения общественного мнения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целесообразности установления и продления на 2026 год запрета на привлечение иностранных работников в отдельных сферах экономической деятельности</w:t>
      </w:r>
      <w:r>
        <w:rPr>
          <w:b w:val="0"/>
          <w:bCs w:val="0"/>
          <w:color w:val="auto"/>
          <w:sz w:val="28"/>
          <w:szCs w:val="28"/>
          <w:highlight w:val="none"/>
        </w:rPr>
        <w:t xml:space="preserve"> проведен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опрос граждан и работодателей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 Платформе обратной связи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 25 февраля по                 25 апреля 2025 года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 социологическое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исследования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в информационной системе «Открытый регион – Югра»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 xml:space="preserve">с 11 марта по 8 апреля 2025 года.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 и работодатели,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ринявшие участие в опросе, в большинстве своем поддержали продление на 2026 запрета на привлечение хозяйствующими субъектами иностранных граждан, осуществляющих трудовую деятельность на основании патентов и установление запрета по новым видам деятельности.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Антикоррупционная экспертиза Проекта проведена в соответствии с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требованиями постановления Губернатора автономного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08.12.2011 № 175 «О порядке проведения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антикоррупционной экспертизы нормативных правовых актов Ханты-Мансийского автономного округа – Югры и проектов нормативных правовых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актов Ханты-Мансийского автономного округа – Югры и признании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утратившими силу некоторых постановлений Губернатора Ханты-Мансийского автономного округа – Югры».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 разработан в соответствии с пунктом 3 статьи 32 Закона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автономного округа от 25.02.2003 № 14-оз «О нормативных правовых актах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Ханты-Мансийского автономного округа – Югры», пунктом б статьи 8 Закона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автономного округа от 19.11.2001 № 75-оз «О Губернаторе Ханты Мансийского автономного округа – Югры» которым установлено, что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Губернатор в пределах полномочий на основе и во исполнение Конституции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Российской Федерации, федерального законодательства, Устава Ханты Мансийского автономного округа – Югры и законов Ханты-Мансийского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автономного округа – Югры издает постановления и распоряжения, имеющие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обязательную силу на всей территории автономного округа.
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Таким образом, Проект подготовлен с учетом требований вышеуказанных нормативных правовых актов и его принятие находится в пределах полномочий Губернатора автономного округа.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не потребует внесения изменений в правовые акты Губернатора автономного округа, Правительства </w:t>
      </w:r>
      <w:r>
        <w:rPr>
          <w:sz w:val="28"/>
          <w:szCs w:val="28"/>
        </w:rPr>
        <w:t xml:space="preserve">автономного округа</w:t>
      </w:r>
      <w:r>
        <w:rPr>
          <w:sz w:val="28"/>
          <w:szCs w:val="28"/>
        </w:rPr>
        <w:t xml:space="preserve">, признания их утратившими силу или принятия новых правовых актов </w:t>
      </w:r>
      <w:r>
        <w:rPr>
          <w:sz w:val="28"/>
          <w:szCs w:val="28"/>
        </w:rPr>
        <w:t xml:space="preserve">автономного округа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Его принятие также не потребует выделения дополнительных средств из бюджета автономного округа.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Проекте отсутствуют сведения, содержащие государственную и иную, охраняемую законом тайну, сведения для служебного пользования, а также сведения, содержащие персональные данные.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 проведении антикоррупционной экспертизы Проекта коррупционных факторов не выявлено.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  <w:lang w:val="ru-RU"/>
        </w:rPr>
        <w:t xml:space="preserve">Приложение на 1 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69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4"/>
        <w:gridCol w:w="3825"/>
        <w:gridCol w:w="2687"/>
      </w:tblGrid>
      <w:tr>
        <w:tblPrEx/>
        <w:trPr>
          <w:trHeight w:val="1443"/>
        </w:trPr>
        <w:tc>
          <w:tcPr>
            <w:shd w:val="clear" w:color="auto" w:fill="auto"/>
            <w:tcW w:w="3184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210185</wp:posOffset>
                      </wp:positionV>
                      <wp:extent cx="2540000" cy="895350"/>
                      <wp:effectExtent l="0" t="0" r="0" b="0"/>
                      <wp:wrapNone/>
                      <wp:docPr id="2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540000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2" type="#_x0000_t2" style="position:absolute;z-index:251656704;o:allowoverlap:true;o:allowincell:true;mso-position-horizontal-relative:text;margin-left:156.20pt;mso-position-horizontal:absolute;mso-position-vertical-relative:text;margin-top:16.55pt;mso-position-vertical:absolute;width:200.00pt;height:70.50pt;mso-wrap-distance-left:9.00pt;mso-wrap-distance-top:0.00pt;mso-wrap-distance-right:9.00pt;mso-wrap-distance-bottom:0.00pt;visibility:visible;" filled="f" strokecolor="#000000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3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Calibri" w:hAnsi="Calibri" w:cs="Calibri"/>
                <w:b/>
                <w:color w:val="d9d9d9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</w:p>
          <w:p>
            <w:pPr>
              <w:jc w:val="center"/>
              <w:rPr>
                <w:rFonts w:ascii="Calibri" w:hAnsi="Calibri" w:cs="Calibri"/>
                <w:b/>
                <w:color w:val="d9d9d9"/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        <wp:simplePos x="0" y="0"/>
                      <wp:positionH relativeFrom="margin">
                        <wp:posOffset>71755</wp:posOffset>
                      </wp:positionH>
                      <wp:positionV relativeFrom="paragraph">
                        <wp:posOffset>0</wp:posOffset>
                      </wp:positionV>
                      <wp:extent cx="342265" cy="306070"/>
                      <wp:effectExtent l="0" t="0" r="0" b="0"/>
                      <wp:wrapTight wrapText="bothSides">
                        <wp:wrapPolygon edited="1">
                          <wp:start x="0" y="0"/>
                          <wp:lineTo x="0" y="20166"/>
                          <wp:lineTo x="20438" y="20166"/>
                          <wp:lineTo x="20438" y="0"/>
                          <wp:lineTo x="0" y="0"/>
                        </wp:wrapPolygon>
                      </wp:wrapTight>
                      <wp:docPr id="3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265" cy="306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z-index:-251657728;o:allowoverlap:true;o:allowincell:true;mso-position-horizontal-relative:margin;margin-left:5.65pt;mso-position-horizontal:absolute;mso-position-vertical-relative:text;margin-top:0.00pt;mso-position-vertical:absolute;width:26.95pt;height:24.10pt;mso-wrap-distance-left:9.00pt;mso-wrap-distance-top:0.00pt;mso-wrap-distance-right:9.00pt;mso-wrap-distance-bottom:0.00pt;" wrapcoords="0 0 0 93361 94620 93361 94620 0 0 0" stroked="f">
                      <v:path textboxrect="0,0,0,0"/>
                      <w10:wrap type="tight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  <w:t xml:space="preserve">ДОКУМЕНТ ПОДПИСАН</w:t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</w:p>
          <w:p>
            <w:pPr>
              <w:jc w:val="center"/>
              <w:rPr>
                <w:rFonts w:ascii="Calibri" w:hAnsi="Calibri" w:cs="Calibri"/>
                <w:b/>
                <w:color w:val="d9d9d9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  <w:t xml:space="preserve">ЭЛЕКТРОННОЙ ПОДПИСЬЮ</w:t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  <w:r>
              <w:rPr>
                <w:rFonts w:ascii="Calibri" w:hAnsi="Calibri" w:cs="Calibri"/>
                <w:b/>
                <w:color w:val="d9d9d9"/>
                <w:sz w:val="20"/>
                <w:szCs w:val="20"/>
              </w:rPr>
            </w:r>
          </w:p>
          <w:p>
            <w:pPr>
              <w:rPr>
                <w:rFonts w:ascii="Calibri" w:hAnsi="Calibri" w:cs="Calibri"/>
                <w:color w:val="d9d9d9"/>
                <w:sz w:val="8"/>
                <w:szCs w:val="8"/>
              </w:rPr>
            </w:pPr>
            <w:r>
              <w:rPr>
                <w:rFonts w:ascii="Calibri" w:hAnsi="Calibri" w:cs="Calibri"/>
                <w:color w:val="d9d9d9"/>
                <w:sz w:val="8"/>
                <w:szCs w:val="8"/>
              </w:rPr>
            </w:r>
            <w:r>
              <w:rPr>
                <w:rFonts w:ascii="Calibri" w:hAnsi="Calibri" w:cs="Calibri"/>
                <w:color w:val="d9d9d9"/>
                <w:sz w:val="8"/>
                <w:szCs w:val="8"/>
              </w:rPr>
            </w:r>
            <w:r>
              <w:rPr>
                <w:rFonts w:ascii="Calibri" w:hAnsi="Calibri" w:cs="Calibri"/>
                <w:color w:val="d9d9d9"/>
                <w:sz w:val="8"/>
                <w:szCs w:val="8"/>
              </w:rPr>
            </w:r>
          </w:p>
          <w:p>
            <w:pPr>
              <w:rPr>
                <w:rFonts w:ascii="Calibri" w:hAnsi="Calibri" w:cs="Calibri"/>
                <w:color w:val="d9d9d9"/>
                <w:sz w:val="18"/>
                <w:szCs w:val="18"/>
              </w:rPr>
            </w:pPr>
            <w:r>
              <w:rPr>
                <w:rFonts w:ascii="Calibri" w:hAnsi="Calibri" w:cs="Calibri"/>
                <w:color w:val="d9d9d9"/>
                <w:sz w:val="18"/>
                <w:szCs w:val="18"/>
              </w:rPr>
              <w:t xml:space="preserve">Сертификат  [Номер сертификата 1]</w:t>
            </w:r>
            <w:r>
              <w:rPr>
                <w:rFonts w:ascii="Calibri" w:hAnsi="Calibri" w:cs="Calibri"/>
                <w:color w:val="d9d9d9"/>
                <w:sz w:val="18"/>
                <w:szCs w:val="18"/>
              </w:rPr>
            </w:r>
            <w:r>
              <w:rPr>
                <w:rFonts w:ascii="Calibri" w:hAnsi="Calibri" w:cs="Calibri"/>
                <w:color w:val="d9d9d9"/>
                <w:sz w:val="18"/>
                <w:szCs w:val="18"/>
              </w:rPr>
            </w:r>
          </w:p>
          <w:p>
            <w:pPr>
              <w:rPr>
                <w:rFonts w:ascii="Calibri" w:hAnsi="Calibri" w:cs="Calibri"/>
                <w:color w:val="d9d9d9"/>
                <w:sz w:val="18"/>
                <w:szCs w:val="18"/>
              </w:rPr>
            </w:pPr>
            <w:r>
              <w:rPr>
                <w:rFonts w:ascii="Calibri" w:hAnsi="Calibri" w:cs="Calibri"/>
                <w:color w:val="d9d9d9"/>
                <w:sz w:val="18"/>
                <w:szCs w:val="18"/>
              </w:rPr>
              <w:t xml:space="preserve">Владелец [Владелец сертификата 1]</w:t>
            </w:r>
            <w:r>
              <w:rPr>
                <w:rFonts w:ascii="Calibri" w:hAnsi="Calibri" w:cs="Calibri"/>
                <w:color w:val="d9d9d9"/>
                <w:sz w:val="18"/>
                <w:szCs w:val="18"/>
              </w:rPr>
            </w:r>
            <w:r>
              <w:rPr>
                <w:rFonts w:ascii="Calibri" w:hAnsi="Calibri" w:cs="Calibri"/>
                <w:color w:val="d9d9d9"/>
                <w:sz w:val="18"/>
                <w:szCs w:val="18"/>
              </w:rPr>
            </w:r>
          </w:p>
          <w:p>
            <w:pPr>
              <w:rPr>
                <w:sz w:val="10"/>
                <w:szCs w:val="10"/>
              </w:rPr>
            </w:pPr>
            <w:r>
              <w:rPr>
                <w:rFonts w:ascii="Calibri" w:hAnsi="Calibri" w:cs="Calibri"/>
                <w:color w:val="d9d9d9"/>
                <w:sz w:val="18"/>
                <w:szCs w:val="18"/>
              </w:rPr>
              <w:t xml:space="preserve">Действителен с [ДатаС 1] по [ДатаПо 1]</w:t>
            </w:r>
            <w:r>
              <w:rPr>
                <w:sz w:val="10"/>
                <w:szCs w:val="10"/>
              </w:rPr>
            </w:r>
            <w:r>
              <w:rPr>
                <w:sz w:val="10"/>
                <w:szCs w:val="10"/>
              </w:rPr>
            </w:r>
          </w:p>
        </w:tc>
        <w:tc>
          <w:tcPr>
            <w:shd w:val="clear" w:color="auto" w:fill="auto"/>
            <w:tcW w:w="268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Р.М.Белкин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hd w:val="clear" w:color="auto" w:fill="ffffff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shd w:val="clear" w:color="auto" w:fill="ffffff"/>
      </w:pPr>
      <w:r>
        <w:rPr>
          <w:bCs/>
        </w:rPr>
      </w:r>
      <w:r>
        <w:rPr>
          <w:bCs/>
        </w:rPr>
      </w:r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shd w:val="clear" w:color="auto" w:fill="ffffff"/>
      </w:pPr>
      <w:r/>
      <w:r/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Исполнитель: консультант</w:t>
      </w:r>
      <w:r>
        <w:rPr>
          <w:sz w:val="22"/>
          <w:szCs w:val="22"/>
        </w:rPr>
        <w:t xml:space="preserve"> отдела </w:t>
      </w:r>
      <w:r>
        <w:rPr>
          <w:sz w:val="22"/>
          <w:szCs w:val="22"/>
        </w:rPr>
        <w:t xml:space="preserve">трудовой миграции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Управления труда Департамента труда и занятости населения автономного округа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color w:val="000000"/>
          <w:sz w:val="20"/>
          <w:szCs w:val="20"/>
          <w:highlight w:val="none"/>
        </w:rPr>
      </w:pPr>
      <w:r>
        <w:rPr>
          <w:sz w:val="22"/>
          <w:szCs w:val="22"/>
        </w:rPr>
        <w:t xml:space="preserve">Чиликова Евгения Владимировна, тел.: 8 (3467) 331609, доб. 3923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right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8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Предложения по видам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для установления в Ханты-Мансийском автономном округе – Югре на 202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6 год запрета 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привлечение иностранных граждан, осуществляющих трудовую деятельность на основании патентов, по отдельным видам экономической деятельности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8"/>
        <w:jc w:val="center"/>
        <w:rPr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color w:val="000000"/>
          <w:sz w:val="28"/>
          <w:szCs w:val="28"/>
        </w:rPr>
        <w:t xml:space="preserve"> (включены в Проект)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contextualSpacing/>
        <w:ind w:left="378" w:hanging="378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Действующие на 2025 год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881"/>
        <w:contextualSpacing/>
        <w:ind w:left="0" w:right="0" w:firstLine="709"/>
        <w:jc w:val="left"/>
        <w:spacing w:line="240" w:lineRule="auto"/>
        <w:rPr>
          <w:b w:val="0"/>
          <w:bCs w:val="0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1.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Производство детского питания и диетических пищевых продуктов (код 10.86).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81"/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2. Обеспечение электрической энерг</w:t>
      </w:r>
      <w:r>
        <w:rPr>
          <w:rFonts w:ascii="Times New Roman" w:hAnsi="Times New Roman" w:cs="Times New Roman"/>
          <w:sz w:val="24"/>
          <w:szCs w:val="24"/>
        </w:rPr>
        <w:t xml:space="preserve">ией, газом и паром; кондиционирование воздуха (код 35).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Забор, очистка и распределение воды (код 36).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Торговля розничная алкогольными напитками, включая пиво, в специализированных магазинах (код 47.25.1).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5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Торговля розничная табачными изделиями в специализированных магазинах (код 47.26).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Деятельность сухопутного пассажирского транспорта: перевозки пассажиров в городском и пригородном сообщении (код 49.31).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7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Деятельность легкового такси и арендованных легковых автомобилей с водителем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 (код 49.32).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  <w:lang w:eastAsia="ar-SA"/>
        </w:rPr>
        <w:t xml:space="preserve">8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. Д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еятельность прочего сухопутного пассажирского транспорта, не включенная в другие группировки 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(код 49.39).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  <w:lang w:eastAsia="ar-SA"/>
        </w:rPr>
        <w:t xml:space="preserve">9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. Деятельность по предоставлению продуктов питания и напитков (код 56).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  <w:lang w:eastAsia="ar-SA"/>
        </w:rPr>
        <w:t xml:space="preserve">10</w:t>
      </w:r>
      <w:r>
        <w:rPr>
          <w:rFonts w:ascii="Times New Roman" w:hAnsi="Times New Roman" w:cs="Times New Roman"/>
          <w:sz w:val="24"/>
          <w:szCs w:val="24"/>
          <w:highlight w:val="white"/>
          <w:lang w:eastAsia="ar-SA"/>
        </w:rPr>
        <w:t xml:space="preserve">. Деятельность по предоставлению финансовых услуг, кроме услуг по страхованию и пенсионному обеспечению (код 64).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11. Образование </w:t>
      </w:r>
      <w:r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 xml:space="preserve">(код 85).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  <w:lang w:eastAsia="en-US"/>
        </w:rPr>
        <w:t xml:space="preserve">12</w:t>
      </w:r>
      <w:r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 xml:space="preserve">. Деятельность в области здравоохранения (код 86).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13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Деятельность по уходу с обеспечением проживания (код 87)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Предоставление услуг по дневному уходу за детьми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(код 88.91)</w:t>
      </w:r>
      <w:r>
        <w:rPr>
          <w:sz w:val="24"/>
          <w:szCs w:val="24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15. Ремонт электронной бытовой техники (код 95.21).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16. Ремонт обуви и прочих изделий из кожи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(код 95.23).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17. Ремонт мебели и предметов домашнего обихода (код 95.24).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18. Ремонт часов и ювелирных изделий (код 95.25).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19. Стирка и химическая чистка текстильных и меховых изделий (код 96.01).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20. Предоставление услуг парикмахерскими и салонами красоты (код 96.02).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21. Деятельность физкультурно-оздоровительная (код 96.04).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widowControl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22. Предоставление прочих персональных услуг, не включенных в другие группировки (код 96.09).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0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Дополнительно на 2026 год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881"/>
        <w:contextualSpacing/>
        <w:ind w:firstLine="708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23.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Разведение оленей (код 01.49.4).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881"/>
        <w:contextualSpacing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24.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Охота, отлов и отстрел диких животных, включая предоставление услуг в этих областях (код 01.7)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881"/>
        <w:contextualSpacing/>
        <w:jc w:val="both"/>
        <w:spacing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25.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white"/>
        </w:rPr>
        <w:t xml:space="preserve">Сбор и заготовка пищевых лесных ресурсов, недревесных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white"/>
        </w:rPr>
        <w:t xml:space="preserve">лесных ресурсов и лекарственных растений (код 02.3)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881"/>
        <w:contextualSpacing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26.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(код 03.12.4).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27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Деятельность курьерская (код 53.20.3). </w:t>
      </w:r>
      <w:r>
        <w:rPr>
          <w:highlight w:val="white"/>
        </w:rPr>
      </w:r>
      <w:r>
        <w:rPr>
          <w:highlight w:val="whit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42" w:right="851" w:bottom="426" w:left="1559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Verdana">
    <w:panose1 w:val="020B0604030504040204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right"/>
    </w:pPr>
    <w:r/>
    <w:r/>
  </w:p>
  <w:p>
    <w:pPr>
      <w:pStyle w:val="88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6</w:t>
    </w:r>
    <w:r>
      <w:fldChar w:fldCharType="end"/>
    </w:r>
    <w:r/>
  </w:p>
  <w:p>
    <w:pPr>
      <w:pStyle w:val="8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8" w:hanging="360"/>
        <w:tabs>
          <w:tab w:val="num" w:pos="1068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2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3"/>
    <w:uiPriority w:val="9"/>
    <w:rPr>
      <w:rFonts w:ascii="Arial" w:hAnsi="Arial" w:eastAsia="Arial" w:cs="Arial"/>
      <w:sz w:val="34"/>
    </w:rPr>
  </w:style>
  <w:style w:type="character" w:styleId="706">
    <w:name w:val="Heading 3 Char"/>
    <w:basedOn w:val="876"/>
    <w:link w:val="874"/>
    <w:uiPriority w:val="9"/>
    <w:rPr>
      <w:rFonts w:ascii="Arial" w:hAnsi="Arial" w:eastAsia="Arial" w:cs="Arial"/>
      <w:sz w:val="30"/>
      <w:szCs w:val="30"/>
    </w:rPr>
  </w:style>
  <w:style w:type="character" w:styleId="707">
    <w:name w:val="Heading 4 Char"/>
    <w:basedOn w:val="876"/>
    <w:link w:val="875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6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6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6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6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1"/>
    <w:next w:val="871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6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Title"/>
    <w:basedOn w:val="871"/>
    <w:next w:val="871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6"/>
    <w:link w:val="718"/>
    <w:uiPriority w:val="10"/>
    <w:rPr>
      <w:sz w:val="48"/>
      <w:szCs w:val="48"/>
    </w:rPr>
  </w:style>
  <w:style w:type="paragraph" w:styleId="720">
    <w:name w:val="Subtitle"/>
    <w:basedOn w:val="871"/>
    <w:next w:val="871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6"/>
    <w:link w:val="720"/>
    <w:uiPriority w:val="11"/>
    <w:rPr>
      <w:sz w:val="24"/>
      <w:szCs w:val="24"/>
    </w:rPr>
  </w:style>
  <w:style w:type="paragraph" w:styleId="722">
    <w:name w:val="Quote"/>
    <w:basedOn w:val="871"/>
    <w:next w:val="871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1"/>
    <w:next w:val="871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6"/>
    <w:link w:val="894"/>
    <w:uiPriority w:val="99"/>
  </w:style>
  <w:style w:type="character" w:styleId="727">
    <w:name w:val="Footer Char"/>
    <w:basedOn w:val="876"/>
    <w:link w:val="888"/>
    <w:uiPriority w:val="99"/>
  </w:style>
  <w:style w:type="paragraph" w:styleId="728">
    <w:name w:val="Caption"/>
    <w:basedOn w:val="871"/>
    <w:next w:val="87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728"/>
    <w:link w:val="888"/>
    <w:uiPriority w:val="99"/>
  </w:style>
  <w:style w:type="table" w:styleId="730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Footnote Text Char"/>
    <w:link w:val="903"/>
    <w:uiPriority w:val="99"/>
    <w:rPr>
      <w:sz w:val="18"/>
    </w:rPr>
  </w:style>
  <w:style w:type="character" w:styleId="856">
    <w:name w:val="footnote reference"/>
    <w:basedOn w:val="876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6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rPr>
      <w:sz w:val="24"/>
      <w:szCs w:val="24"/>
    </w:rPr>
  </w:style>
  <w:style w:type="paragraph" w:styleId="872">
    <w:name w:val="Heading 1"/>
    <w:basedOn w:val="871"/>
    <w:next w:val="871"/>
    <w:qFormat/>
    <w:pPr>
      <w:keepNext/>
      <w:outlineLvl w:val="0"/>
    </w:pPr>
    <w:rPr>
      <w:i/>
      <w:iCs/>
      <w:sz w:val="22"/>
    </w:rPr>
  </w:style>
  <w:style w:type="paragraph" w:styleId="873">
    <w:name w:val="Heading 2"/>
    <w:basedOn w:val="871"/>
    <w:next w:val="871"/>
    <w:qFormat/>
    <w:pPr>
      <w:jc w:val="right"/>
      <w:keepNext/>
      <w:outlineLvl w:val="1"/>
    </w:pPr>
    <w:rPr>
      <w:sz w:val="28"/>
    </w:rPr>
  </w:style>
  <w:style w:type="paragraph" w:styleId="874">
    <w:name w:val="Heading 3"/>
    <w:basedOn w:val="871"/>
    <w:next w:val="871"/>
    <w:qFormat/>
    <w:pPr>
      <w:keepNext/>
      <w:outlineLvl w:val="2"/>
    </w:pPr>
    <w:rPr>
      <w:sz w:val="28"/>
    </w:rPr>
  </w:style>
  <w:style w:type="paragraph" w:styleId="875">
    <w:name w:val="Heading 4"/>
    <w:basedOn w:val="871"/>
    <w:next w:val="871"/>
    <w:link w:val="900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paragraph" w:styleId="879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880">
    <w:name w:val="Hyperlink"/>
    <w:rPr>
      <w:color w:val="0000ff"/>
      <w:u w:val="single"/>
    </w:rPr>
  </w:style>
  <w:style w:type="paragraph" w:styleId="881">
    <w:name w:val="Body Text"/>
    <w:basedOn w:val="871"/>
    <w:pPr>
      <w:jc w:val="both"/>
    </w:pPr>
    <w:rPr>
      <w:sz w:val="28"/>
    </w:rPr>
  </w:style>
  <w:style w:type="paragraph" w:styleId="882">
    <w:name w:val="Normal (Web)"/>
    <w:basedOn w:val="871"/>
    <w:uiPriority w:val="99"/>
    <w:pPr>
      <w:spacing w:before="100" w:beforeAutospacing="1" w:after="100" w:afterAutospacing="1"/>
    </w:pPr>
  </w:style>
  <w:style w:type="paragraph" w:styleId="883">
    <w:name w:val="Body Text Indent"/>
    <w:basedOn w:val="871"/>
    <w:pPr>
      <w:ind w:firstLine="708"/>
      <w:jc w:val="both"/>
    </w:pPr>
    <w:rPr>
      <w:sz w:val="28"/>
    </w:rPr>
  </w:style>
  <w:style w:type="paragraph" w:styleId="884">
    <w:name w:val="Balloon Text"/>
    <w:basedOn w:val="871"/>
    <w:semiHidden/>
    <w:rPr>
      <w:rFonts w:ascii="Tahoma" w:hAnsi="Tahoma" w:cs="Tahoma"/>
      <w:sz w:val="16"/>
      <w:szCs w:val="16"/>
    </w:rPr>
  </w:style>
  <w:style w:type="paragraph" w:styleId="885">
    <w:name w:val="HTML Preformatted"/>
    <w:basedOn w:val="871"/>
    <w:link w:val="906"/>
    <w:uiPriority w:val="99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3"/>
      <w:szCs w:val="23"/>
    </w:rPr>
  </w:style>
  <w:style w:type="paragraph" w:styleId="886" w:customStyle="1">
    <w:name w:val="ConsPlusNormal"/>
    <w:link w:val="905"/>
    <w:qFormat/>
    <w:pPr>
      <w:ind w:firstLine="720"/>
      <w:widowControl w:val="off"/>
    </w:pPr>
    <w:rPr>
      <w:rFonts w:ascii="Arial" w:hAnsi="Arial" w:cs="Arial"/>
    </w:rPr>
  </w:style>
  <w:style w:type="paragraph" w:styleId="887">
    <w:name w:val="Body Text 2"/>
    <w:basedOn w:val="871"/>
    <w:pPr>
      <w:spacing w:after="120" w:line="480" w:lineRule="auto"/>
    </w:pPr>
  </w:style>
  <w:style w:type="paragraph" w:styleId="888">
    <w:name w:val="Footer"/>
    <w:basedOn w:val="871"/>
    <w:link w:val="889"/>
    <w:pPr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link w:val="888"/>
    <w:rPr>
      <w:sz w:val="24"/>
      <w:szCs w:val="24"/>
    </w:rPr>
  </w:style>
  <w:style w:type="character" w:styleId="890" w:customStyle="1">
    <w:name w:val="Font Style15"/>
    <w:rPr>
      <w:rFonts w:ascii="Times New Roman" w:hAnsi="Times New Roman" w:cs="Times New Roman"/>
      <w:sz w:val="26"/>
      <w:szCs w:val="26"/>
    </w:rPr>
  </w:style>
  <w:style w:type="paragraph" w:styleId="891" w:customStyle="1">
    <w:name w:val="Знак1"/>
    <w:basedOn w:val="87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892">
    <w:name w:val="Strong"/>
    <w:uiPriority w:val="22"/>
    <w:qFormat/>
    <w:rPr>
      <w:b/>
      <w:bCs/>
    </w:rPr>
  </w:style>
  <w:style w:type="table" w:styleId="893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4">
    <w:name w:val="Header"/>
    <w:basedOn w:val="871"/>
    <w:link w:val="895"/>
    <w:uiPriority w:val="99"/>
    <w:pPr>
      <w:tabs>
        <w:tab w:val="center" w:pos="4677" w:leader="none"/>
        <w:tab w:val="right" w:pos="9355" w:leader="none"/>
      </w:tabs>
    </w:pPr>
  </w:style>
  <w:style w:type="character" w:styleId="895" w:customStyle="1">
    <w:name w:val="Верхний колонтитул Знак"/>
    <w:link w:val="894"/>
    <w:uiPriority w:val="99"/>
    <w:rPr>
      <w:sz w:val="24"/>
      <w:szCs w:val="24"/>
    </w:rPr>
  </w:style>
  <w:style w:type="paragraph" w:styleId="896">
    <w:name w:val="Body Text Indent 2"/>
    <w:basedOn w:val="871"/>
    <w:link w:val="897"/>
    <w:pPr>
      <w:ind w:left="283"/>
      <w:spacing w:after="120" w:line="480" w:lineRule="auto"/>
    </w:pPr>
  </w:style>
  <w:style w:type="character" w:styleId="897" w:customStyle="1">
    <w:name w:val="Основной текст с отступом 2 Знак"/>
    <w:link w:val="896"/>
    <w:rPr>
      <w:sz w:val="24"/>
      <w:szCs w:val="24"/>
    </w:rPr>
  </w:style>
  <w:style w:type="paragraph" w:styleId="898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899">
    <w:name w:val="List Paragraph"/>
    <w:basedOn w:val="87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00" w:customStyle="1">
    <w:name w:val="Заголовок 4 Знак"/>
    <w:link w:val="875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01">
    <w:name w:val="No Spacing"/>
    <w:uiPriority w:val="1"/>
    <w:qFormat/>
    <w:rPr>
      <w:rFonts w:ascii="Calibri" w:hAnsi="Calibri"/>
      <w:sz w:val="22"/>
      <w:szCs w:val="22"/>
    </w:rPr>
  </w:style>
  <w:style w:type="paragraph" w:styleId="902" w:customStyle="1">
    <w:name w:val="ConsPlusTitle"/>
    <w:rPr>
      <w:b/>
      <w:bCs/>
      <w:sz w:val="28"/>
      <w:szCs w:val="28"/>
    </w:rPr>
  </w:style>
  <w:style w:type="paragraph" w:styleId="903">
    <w:name w:val="footnote text"/>
    <w:basedOn w:val="871"/>
    <w:link w:val="904"/>
    <w:unhideWhenUsed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904" w:customStyle="1">
    <w:name w:val="Текст сноски Знак"/>
    <w:basedOn w:val="876"/>
    <w:link w:val="903"/>
    <w:rPr>
      <w:rFonts w:asciiTheme="minorHAnsi" w:hAnsiTheme="minorHAnsi" w:eastAsiaTheme="minorHAnsi" w:cstheme="minorBidi"/>
      <w:lang w:eastAsia="en-US"/>
    </w:rPr>
  </w:style>
  <w:style w:type="character" w:styleId="905" w:customStyle="1">
    <w:name w:val="ConsPlusNormal Знак"/>
    <w:link w:val="886"/>
    <w:qFormat/>
    <w:rPr>
      <w:rFonts w:ascii="Arial" w:hAnsi="Arial" w:cs="Arial"/>
    </w:rPr>
  </w:style>
  <w:style w:type="character" w:styleId="906" w:customStyle="1">
    <w:name w:val="Стандартный HTML Знак"/>
    <w:link w:val="885"/>
    <w:uiPriority w:val="99"/>
    <w:rPr>
      <w:rFonts w:ascii="Courier New" w:hAnsi="Courier New" w:cs="Courier New"/>
      <w:sz w:val="23"/>
      <w:szCs w:val="23"/>
    </w:rPr>
  </w:style>
  <w:style w:type="paragraph" w:styleId="907" w:customStyle="1">
    <w:name w:val="Default"/>
    <w:rPr>
      <w:color w:val="000000"/>
      <w:sz w:val="24"/>
      <w:szCs w:val="24"/>
    </w:rPr>
  </w:style>
  <w:style w:type="character" w:styleId="908" w:customStyle="1">
    <w:name w:val="markedcontent"/>
    <w:basedOn w:val="876"/>
  </w:style>
  <w:style w:type="paragraph" w:styleId="909" w:customStyle="1">
    <w:name w:val="Заголовок1"/>
    <w:basedOn w:val="874"/>
    <w:next w:val="88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dtzn@admhmao.ru" TargetMode="External"/><Relationship Id="rId14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77CE6-C444-4E97-9ED8-F1D3BDCC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Kokorina</dc:creator>
  <cp:keywords/>
  <dc:description/>
  <cp:revision>88</cp:revision>
  <dcterms:created xsi:type="dcterms:W3CDTF">2021-04-22T11:20:00Z</dcterms:created>
  <dcterms:modified xsi:type="dcterms:W3CDTF">2025-07-10T07:55:52Z</dcterms:modified>
</cp:coreProperties>
</file>