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к письму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Деппромышленности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Югры</w:t>
      </w:r>
      <w:r/>
    </w:p>
    <w:p>
      <w:pPr>
        <w:jc w:val="right"/>
      </w:pPr>
      <w:r>
        <w:rPr>
          <w:rFonts w:ascii="Times New Roman" w:hAnsi="Times New Roman" w:eastAsia="Calibri" w:cs="Times New Roman"/>
          <w:color w:val="d9d9d9"/>
          <w:sz w:val="24"/>
          <w:szCs w:val="24"/>
          <w:lang w:eastAsia="ru-RU"/>
        </w:rPr>
        <w:t xml:space="preserve">[Дата документа]</w:t>
      </w:r>
      <w:r>
        <w:rPr>
          <w:rFonts w:ascii="Times New Roman" w:hAnsi="Times New Roman" w:eastAsia="Calibri" w:cs="Times New Roman"/>
          <w:color w:val="d9d9d9"/>
          <w:sz w:val="24"/>
          <w:szCs w:val="24"/>
          <w:lang w:eastAsia="ru-RU"/>
        </w:rPr>
        <w:tab/>
        <w:t xml:space="preserve">[Номер документа]</w:t>
      </w:r>
      <w:r/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  <w:t xml:space="preserve">Информационная справка о классификации гостиниц и иных средств размещения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Поряд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ок классификации гостиниц утвержден 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постановлением Правительства 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Российской Федерации 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от 18 ноября 2020 года № 1860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«Об утверждении Положения о классификации гостиниц» (далее – Положение)</w:t>
      </w:r>
      <w:r>
        <w:rPr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Гостинице присваивается одна из 6 категорий от «без звезд» до «пять звезд» (низшая – «без звезд», высшая – «пять звезд»). 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Классификация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 подтверждается один раз в 3 года.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Действие Положения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single"/>
        </w:rPr>
        <w:t xml:space="preserve">распространяется на следующие виды гостиниц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городская гостиница (отель)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гостиница, расположенная в здании, являющемся объектом культурного наследия, и (или) выявленным объектом культурного наследия, и (или) объектом, составляющим предмет охраны исторического поселения;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курортный отель, дом отдыха, центр отдыха, пансионат;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апарт-отель;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комплекс 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партаментов;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мотель;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хостел;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загородный отель, 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highlight w:val="none"/>
          <w:u w:val="single"/>
        </w:rPr>
        <w:t xml:space="preserve">туристская база, база отдыха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гостиничные номера при визит-центре</w:t>
      </w:r>
      <w:r>
        <w:t xml:space="preserve">.</w:t>
      </w:r>
      <w:r/>
    </w:p>
    <w:p>
      <w:pPr>
        <w:contextualSpacing w:val="0"/>
        <w:ind w:left="0" w:right="0" w:firstLine="720"/>
        <w:jc w:val="both"/>
        <w:spacing w:before="0" w:after="0" w:line="240" w:lineRule="auto"/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Классификации 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  <w:u w:val="single"/>
        </w:rPr>
        <w:t xml:space="preserve">не подлежат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 средства размещения, используемые для осуществления основной деятельности организаций отдыха и оздоровления детей, медицинских организаций, организаций социального обслуживания, физкультурно-спортивных организаций, централизованных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 религиозных организаций и (или) организаций, входящих в их структуру, деятельности по оказанию услуг в сфере сельского туризма в сельской местности, кемпинги, общежития, средства размещения в жилых помещениях (за исключением жилых помещени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й, переведенных в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нежилые помещения в порядке, установленном Жилищным кодексом Российской Федерации), туристские приюты, туристские стоянки, дома-кордоны, в том числе расположенные на земельных участках особо охраняемых природных территорий, а также иные средства размещения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, в которых не предоставляются гостиничные услуги</w:t>
      </w:r>
      <w:r>
        <w:rPr>
          <w:rStyle w:val="863"/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footnoteReference w:id="2"/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Calibri" w:cs="Times New Roman"/>
          <w:b w:val="0"/>
          <w:bCs w:val="0"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before="0" w:after="0" w:line="24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b/>
          <w:color w:val="000000"/>
          <w:sz w:val="28"/>
          <w:szCs w:val="28"/>
        </w:rPr>
        <w:t xml:space="preserve">Инструкция по прохождению классификации гостиниц: 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1. Выбрать аккредитованную организацию по ссылке: https://fsa.gov.ru/use-of-technology/elektronnye-reestryy/reestr-akkreditovannykh-organizatsiy-osushchestvlyayushchikh-klassifikatsiyu-gostinits-gornolyzhnykh/.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2. Связаться с выбранной аккредитованной организацией.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Заключить договор с аккредитованной организацией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, подготовить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пакет необходимых документов</w:t>
      </w:r>
      <w:r>
        <w:rPr>
          <w:rStyle w:val="863"/>
          <w:rFonts w:ascii="Times New Roman" w:hAnsi="Times New Roman" w:eastAsia="Calibri" w:cs="Times New Roman"/>
          <w:sz w:val="28"/>
          <w:szCs w:val="28"/>
        </w:rPr>
        <w:footnoteReference w:id="3"/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и передать аккредитованной организации для п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роведения классификации.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Пройти экспертную оценку.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5.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Получить решение о присвоении гостинице категории и свидетельство о категории от аккредитованной организации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, проверить наличие информации о гостинице в едином перечне классифицированных объектов туристской индустрии на сайте https://knd.gov.ru/simpleregistry.</w:t>
      </w:r>
      <w:r>
        <w:rPr>
          <w:rFonts w:ascii="Times New Roman" w:hAnsi="Times New Roman" w:cs="Times New Roman"/>
          <w:sz w:val="28"/>
          <w:szCs w:val="28"/>
        </w:rPr>
      </w:r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1"/>
      </w:pPr>
      <w:r>
        <w:rPr>
          <w:rStyle w:val="863"/>
        </w:rPr>
        <w:footnoteRef/>
      </w:r>
      <w:r>
        <w:t xml:space="preserve"> </w:t>
      </w:r>
      <w:r>
        <w:rPr>
          <w:rFonts w:ascii="Times New Roman" w:hAnsi="Times New Roman" w:cs="Times New Roman"/>
          <w:highlight w:val="none"/>
        </w:rPr>
        <w:t xml:space="preserve">Раздел </w:t>
      </w:r>
      <w:r>
        <w:rPr>
          <w:rFonts w:ascii="Times New Roman" w:hAnsi="Times New Roman" w:cs="Times New Roman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highlight w:val="none"/>
          <w:lang w:val="en-US"/>
        </w:rPr>
        <w:t xml:space="preserve">I </w:t>
      </w:r>
      <w:r>
        <w:rPr>
          <w:rFonts w:ascii="Times New Roman" w:hAnsi="Times New Roman" w:cs="Times New Roman"/>
          <w:highlight w:val="none"/>
          <w:lang w:val="ru-RU"/>
        </w:rPr>
        <w:t xml:space="preserve">Положения</w:t>
      </w:r>
      <w:r/>
    </w:p>
  </w:footnote>
  <w:footnote w:id="3">
    <w:p>
      <w:pPr>
        <w:pStyle w:val="861"/>
        <w:rPr>
          <w:rFonts w:ascii="Times New Roman" w:hAnsi="Times New Roman" w:cs="Times New Roman"/>
          <w:highlight w:val="none"/>
          <w14:ligatures w14:val="none"/>
        </w:rPr>
      </w:pPr>
      <w:r>
        <w:rPr>
          <w:rStyle w:val="863"/>
        </w:rPr>
        <w:footnoteRef/>
      </w:r>
      <w:r>
        <w:rPr>
          <w:rFonts w:ascii="Times New Roman" w:hAnsi="Times New Roman" w:cs="Times New Roman"/>
          <w:highlight w:val="none"/>
        </w:rPr>
        <w:t xml:space="preserve"> Раздел </w:t>
      </w:r>
      <w:r>
        <w:rPr>
          <w:rFonts w:ascii="Times New Roman" w:hAnsi="Times New Roman" w:cs="Times New Roman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highlight w:val="none"/>
          <w:lang w:val="en-US"/>
        </w:rPr>
        <w:t xml:space="preserve">V</w:t>
      </w:r>
      <w:r>
        <w:rPr>
          <w:rFonts w:ascii="Times New Roman" w:hAnsi="Times New Roman" w:cs="Times New Roman"/>
          <w:highlight w:val="none"/>
          <w:lang w:val="ru-RU"/>
        </w:rPr>
        <w:t xml:space="preserve"> Положения</w:t>
      </w:r>
      <w:r>
        <w:rPr>
          <w:rFonts w:ascii="Times New Roman" w:hAnsi="Times New Roman" w:cs="Times New Roman"/>
          <w:highlight w:val="none"/>
        </w:rPr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/>
  </w:p>
  <w:p>
    <w:pPr>
      <w:pStyle w:val="72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>
    <w:name w:val="Heading 1"/>
    <w:basedOn w:val="878"/>
    <w:next w:val="878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3">
    <w:name w:val="Heading 1 Char"/>
    <w:link w:val="702"/>
    <w:uiPriority w:val="9"/>
    <w:rPr>
      <w:rFonts w:ascii="Arial" w:hAnsi="Arial" w:eastAsia="Arial" w:cs="Arial"/>
      <w:sz w:val="40"/>
      <w:szCs w:val="40"/>
    </w:rPr>
  </w:style>
  <w:style w:type="paragraph" w:styleId="704">
    <w:name w:val="Heading 2"/>
    <w:basedOn w:val="878"/>
    <w:next w:val="878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5">
    <w:name w:val="Heading 2 Char"/>
    <w:link w:val="704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8"/>
    <w:next w:val="878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8"/>
    <w:next w:val="878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8"/>
    <w:next w:val="878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8"/>
    <w:next w:val="878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8"/>
    <w:next w:val="878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8"/>
    <w:next w:val="878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8"/>
    <w:next w:val="878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8"/>
    <w:next w:val="87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link w:val="720"/>
    <w:uiPriority w:val="10"/>
    <w:rPr>
      <w:sz w:val="48"/>
      <w:szCs w:val="48"/>
    </w:rPr>
  </w:style>
  <w:style w:type="paragraph" w:styleId="722">
    <w:name w:val="Subtitle"/>
    <w:basedOn w:val="878"/>
    <w:next w:val="878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link w:val="722"/>
    <w:uiPriority w:val="11"/>
    <w:rPr>
      <w:sz w:val="24"/>
      <w:szCs w:val="24"/>
    </w:rPr>
  </w:style>
  <w:style w:type="paragraph" w:styleId="724">
    <w:name w:val="Quote"/>
    <w:basedOn w:val="878"/>
    <w:next w:val="878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8"/>
    <w:next w:val="878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paragraph" w:styleId="728">
    <w:name w:val="Header"/>
    <w:basedOn w:val="878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Header Char"/>
    <w:link w:val="728"/>
    <w:uiPriority w:val="99"/>
  </w:style>
  <w:style w:type="paragraph" w:styleId="730">
    <w:name w:val="Footer"/>
    <w:basedOn w:val="878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Footer Char"/>
    <w:link w:val="730"/>
    <w:uiPriority w:val="99"/>
  </w:style>
  <w:style w:type="paragraph" w:styleId="732">
    <w:name w:val="Caption"/>
    <w:basedOn w:val="878"/>
    <w:next w:val="8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3">
    <w:name w:val="Caption Char"/>
    <w:basedOn w:val="732"/>
    <w:link w:val="730"/>
    <w:uiPriority w:val="99"/>
  </w:style>
  <w:style w:type="table" w:styleId="734">
    <w:name w:val="Table Grid"/>
    <w:basedOn w:val="8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4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5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6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7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8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9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paragraph" w:styleId="881">
    <w:name w:val="No Spacing"/>
    <w:basedOn w:val="878"/>
    <w:uiPriority w:val="1"/>
    <w:qFormat/>
    <w:pPr>
      <w:spacing w:after="0" w:line="240" w:lineRule="auto"/>
    </w:pPr>
  </w:style>
  <w:style w:type="paragraph" w:styleId="882">
    <w:name w:val="List Paragraph"/>
    <w:basedOn w:val="878"/>
    <w:uiPriority w:val="34"/>
    <w:qFormat/>
    <w:pPr>
      <w:contextualSpacing/>
      <w:ind w:left="720"/>
    </w:pPr>
  </w:style>
  <w:style w:type="character" w:styleId="88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2024-02-15T10:24:26Z</dcterms:modified>
</cp:coreProperties>
</file>