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093" w:rsidRDefault="00A75891" w:rsidP="00A75891">
      <w:pPr>
        <w:jc w:val="center"/>
        <w:rPr>
          <w:b/>
          <w:bCs/>
        </w:rPr>
      </w:pPr>
      <w:r w:rsidRPr="001A2093">
        <w:rPr>
          <w:b/>
          <w:bCs/>
        </w:rPr>
        <w:t xml:space="preserve">Требования к нестационарным торговым объектам, </w:t>
      </w:r>
    </w:p>
    <w:p w:rsidR="001A2093" w:rsidRPr="001A2093" w:rsidRDefault="00A75891" w:rsidP="00A75891">
      <w:pPr>
        <w:jc w:val="center"/>
        <w:rPr>
          <w:b/>
          <w:bCs/>
        </w:rPr>
      </w:pPr>
      <w:bookmarkStart w:id="0" w:name="_GoBack"/>
      <w:bookmarkEnd w:id="0"/>
      <w:r w:rsidRPr="001A2093">
        <w:rPr>
          <w:b/>
          <w:bCs/>
        </w:rPr>
        <w:t>установленные Правилами благоустройства территории города Нижневартовска</w:t>
      </w:r>
      <w:r w:rsidR="001A2093" w:rsidRPr="001A2093">
        <w:rPr>
          <w:b/>
          <w:bCs/>
        </w:rPr>
        <w:t xml:space="preserve"> </w:t>
      </w:r>
    </w:p>
    <w:p w:rsidR="00A75891" w:rsidRPr="001A2093" w:rsidRDefault="001A2093" w:rsidP="00A75891">
      <w:pPr>
        <w:jc w:val="center"/>
        <w:rPr>
          <w:b/>
          <w:bCs/>
        </w:rPr>
      </w:pPr>
      <w:r w:rsidRPr="001A2093">
        <w:rPr>
          <w:b/>
          <w:bCs/>
        </w:rPr>
        <w:t>(у</w:t>
      </w:r>
      <w:r w:rsidRPr="001A2093">
        <w:rPr>
          <w:b/>
        </w:rPr>
        <w:t>тверждены решением Думы города от 18.09.2020 №667</w:t>
      </w:r>
      <w:r w:rsidRPr="001A2093">
        <w:rPr>
          <w:b/>
        </w:rPr>
        <w:t>)</w:t>
      </w:r>
    </w:p>
    <w:p w:rsidR="00A75891" w:rsidRPr="00F35CF3" w:rsidRDefault="00A75891" w:rsidP="00A75891">
      <w:pPr>
        <w:jc w:val="center"/>
        <w:rPr>
          <w:b/>
          <w:bCs/>
          <w:sz w:val="16"/>
          <w:szCs w:val="16"/>
        </w:rPr>
      </w:pP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 xml:space="preserve">Нестационарные торговые объекты (далее – НТО) выполняются из легких конструкций, </w:t>
      </w:r>
      <w:r w:rsidRPr="00470CD4">
        <w:rPr>
          <w:sz w:val="26"/>
          <w:szCs w:val="26"/>
          <w:u w:val="single"/>
        </w:rPr>
        <w:t>не предусматривающих устройство заглубленных фундаментов и подземных сооружений</w:t>
      </w:r>
      <w:r w:rsidRPr="00470CD4">
        <w:rPr>
          <w:sz w:val="26"/>
          <w:szCs w:val="26"/>
        </w:rPr>
        <w:t xml:space="preserve">. 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 xml:space="preserve">Внешний вид и условия размещения НТО должен соответствовать проекту архитектурно-художественного решения </w:t>
      </w:r>
      <w:r w:rsidR="00C77567" w:rsidRPr="00470CD4">
        <w:rPr>
          <w:sz w:val="26"/>
          <w:szCs w:val="26"/>
        </w:rPr>
        <w:t>НТО</w:t>
      </w:r>
      <w:r w:rsidRPr="00470CD4">
        <w:rPr>
          <w:sz w:val="26"/>
          <w:szCs w:val="26"/>
        </w:rPr>
        <w:t>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НТО должны находиться в надлежащем санитарном и техническом состоянии. Надлежащее состояние внешнего вида подразумевает: целостность конструкций и элементов облицовки; отсутствие механических повреждений; наличие покрашенного каркаса; отсутствие ржавчины и грязи на всех частях и элементах конструкций; отсутствие на всех частях и элементах наклеенных объявлений, посторонних надписей, изображений и других информационных сообщений; наличие наружной подсветки в темное время суток.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НТО рекомендовано изготавливать в заводских условиях в соответствии с проектом архитектурно-художественного решения.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  <w:u w:val="single"/>
        </w:rPr>
        <w:t>Обязательным условием размещения НТО</w:t>
      </w:r>
      <w:r w:rsidRPr="00470CD4">
        <w:rPr>
          <w:sz w:val="26"/>
          <w:szCs w:val="26"/>
        </w:rPr>
        <w:t xml:space="preserve"> </w:t>
      </w:r>
      <w:r w:rsidRPr="00470CD4">
        <w:rPr>
          <w:sz w:val="26"/>
          <w:szCs w:val="26"/>
          <w:u w:val="single"/>
        </w:rPr>
        <w:t>является</w:t>
      </w:r>
      <w:r w:rsidRPr="00470CD4">
        <w:rPr>
          <w:sz w:val="26"/>
          <w:szCs w:val="26"/>
        </w:rPr>
        <w:t xml:space="preserve"> </w:t>
      </w:r>
      <w:r w:rsidRPr="00470CD4">
        <w:rPr>
          <w:sz w:val="26"/>
          <w:szCs w:val="26"/>
          <w:u w:val="single"/>
        </w:rPr>
        <w:t>наличие проекта архитектурно-художественного решения НТО, согласованного управлением архитектуры и градостроительства департамента строительства администрации города</w:t>
      </w:r>
      <w:r w:rsidRPr="00470CD4">
        <w:rPr>
          <w:sz w:val="26"/>
          <w:szCs w:val="26"/>
        </w:rPr>
        <w:t>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  <w:u w:val="single"/>
        </w:rPr>
        <w:t>Для согласования проекта архитектурно-художественного решения НТО</w:t>
      </w:r>
      <w:r w:rsidRPr="00470CD4">
        <w:rPr>
          <w:sz w:val="26"/>
          <w:szCs w:val="26"/>
        </w:rPr>
        <w:t xml:space="preserve"> заявитель представляет в управление архитектуры и градостроительства департамента строительства администрации города </w:t>
      </w:r>
      <w:r w:rsidRPr="00470CD4">
        <w:rPr>
          <w:sz w:val="26"/>
          <w:szCs w:val="26"/>
          <w:u w:val="single"/>
        </w:rPr>
        <w:t>следующие документы</w:t>
      </w:r>
      <w:r w:rsidRPr="00470CD4">
        <w:rPr>
          <w:sz w:val="26"/>
          <w:szCs w:val="26"/>
        </w:rPr>
        <w:t>: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1) заявление (подается в свободной форме);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2) проект архитектурно-художественного решения</w:t>
      </w:r>
      <w:r w:rsidR="00C06EA0" w:rsidRPr="00470CD4">
        <w:rPr>
          <w:sz w:val="26"/>
          <w:szCs w:val="26"/>
        </w:rPr>
        <w:t xml:space="preserve">, который </w:t>
      </w:r>
      <w:r w:rsidRPr="00470CD4">
        <w:rPr>
          <w:sz w:val="26"/>
          <w:szCs w:val="26"/>
        </w:rPr>
        <w:t>включает: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а) Текстовые материалы</w:t>
      </w:r>
      <w:r w:rsidR="00470CD4" w:rsidRPr="00470CD4">
        <w:rPr>
          <w:sz w:val="26"/>
          <w:szCs w:val="26"/>
        </w:rPr>
        <w:t xml:space="preserve"> -</w:t>
      </w:r>
      <w:r w:rsidRPr="00470CD4">
        <w:rPr>
          <w:sz w:val="26"/>
          <w:szCs w:val="26"/>
        </w:rPr>
        <w:t xml:space="preserve"> оформляются в виде пояснительной записки и включают описание основных архитектурных и конструктивных решений с указанием габаритов объекта, материалов конструкции и цвета по системе RAL.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 xml:space="preserve">б) Графические материалы </w:t>
      </w:r>
      <w:r w:rsidR="00470CD4" w:rsidRPr="00470CD4">
        <w:rPr>
          <w:sz w:val="26"/>
          <w:szCs w:val="26"/>
        </w:rPr>
        <w:t xml:space="preserve">- </w:t>
      </w:r>
      <w:r w:rsidRPr="00470CD4">
        <w:rPr>
          <w:sz w:val="26"/>
          <w:szCs w:val="26"/>
        </w:rPr>
        <w:t>оформляются в виде буклета и включают: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фотофиксацию (фотографии) существующей ситуации без размещения объекта. Фотографии должны обеспечить в полном объеме четкую демонстрацию предполагаемого места размещения объекта, а также не содержать иных объектов, в том числе автомобильный транспорт, препятствующих указанной демонстрации. Фотографии должны быть выполнены не более чем за один месяц до обращения за получением согласования в количестве не менее трех цветных фотографий (в формате не менее 10 x 15 сантиметров и не более 13 x 18 сантиметров). Фотографии объекта должны быть сохранены с разрешением не менее 300 dpi, с соблюдением контрастности и цветопередачи и направлены в адрес управления архитектуры и градостроительства департамента строительства в электронном виде;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чертежи (схема размещения объекта с привязкой всех его элементов к капитальным объектам и объектам благоустройства, фасады, план с элементами обустройства, разрезов, основных конструктивных элементов, элементов крепления, элементов оборудования с указанием размеров) ортогональные, в масштабе 1:200 или 1:100, или 1:50. Выбор масштаба чертежей осуществляется в зависимости от габаритных размеров графически отображаемого объекта. Изображение фасадов должны быть выполнены в цвете и отражать все элементы дизайн оформления, рекламы, информации с указанием их габаритов.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 xml:space="preserve">При использовании типового проекта вместо чертежей (фасады, план с </w:t>
      </w:r>
      <w:r w:rsidRPr="00470CD4">
        <w:rPr>
          <w:sz w:val="26"/>
          <w:szCs w:val="26"/>
        </w:rPr>
        <w:lastRenderedPageBreak/>
        <w:t>элементами обустройства, разрезов, основных конструктивных элементов, элементов крепления, элементов оборудования с указанием размеров) может быть представлен паспорт объекта, если он содержит все необходимые сведения об архитектурно-художественном облике.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Схема благоустройства территории с привязкой всех его элементов к капитальным объектам и объектам благоустройства является обязательной;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фотовизуализацию (графическая врисовка объекта в месте его предполагаемого размещения в существующую ситуацию). Выполняется в виде компьютерной врисовки конструкции на фотографии с соблюдением пропорций размещаемого объекта.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  <w:u w:val="single"/>
        </w:rPr>
        <w:t>Характеристики НТО</w:t>
      </w:r>
      <w:r w:rsidRPr="00470CD4">
        <w:rPr>
          <w:sz w:val="26"/>
          <w:szCs w:val="26"/>
        </w:rPr>
        <w:t>: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а) торговый объект, предназначенный и используемый для выкладки и демонстрации товаров, обслуживания покупателей, проведения денежных расчетов с покупателями при продаже товаров;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б) относится к элементам благоустройства (не является капитальным объектом);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 xml:space="preserve">в) </w:t>
      </w:r>
      <w:r w:rsidRPr="00470CD4">
        <w:rPr>
          <w:sz w:val="26"/>
          <w:szCs w:val="26"/>
          <w:u w:val="single"/>
        </w:rPr>
        <w:t>не имеет прочной связи с землей</w:t>
      </w:r>
      <w:r w:rsidRPr="00470CD4">
        <w:rPr>
          <w:sz w:val="26"/>
          <w:szCs w:val="26"/>
        </w:rPr>
        <w:t xml:space="preserve"> вне зависимости от наличия или отсутствия подключения (технологического присоединения) к сетям инженерно-технического обеспечения;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г) имеет конструктивные характеристики, позволяющие без несоразмерного ущерба назначению и без изменения основных характеристик осуществить (неоднократно) его перемещение, демонтаж, сборку.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Характеристики НТО, при наличии которых определяется невозможность его использования по назначению: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а) несоответствие основных конструктивных параметров собранного НТО: количества, конфигурации, габаритов;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б) изменение места размещения и взаиморасположения ограждающих конструкций и отдельных конструктивных элементов, материалов изготовления, указанных в технической документации и (или) иной документации, определяющей конструктивные параметры НТО;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в) визуально определяемые деформации поверхностей ограждающих конструкций и отдельных конструктивных элементов: смещение по вертикали и горизонтали, перекосы, прогибы, трещины, дыры, смятия, расслоения, коррозия, набухания, плесень, нарушение декоративного слоя, следы горения, расстройства болтовых, заклепочных, иных соединений конструкций, разрушение места размещения;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г) ухудшение внешнего вида визуально воспринимаемых поверхностей, элементов, составляющих поверхности НТО и элементов благоустройства, размещаемых совместно с НТО: изменение характеристик цветоносителей (текстуры, фактуры, цветового оттенка, хроматической яркости, контрастности, прозрачности), указанных в технической документации и (или) иной документации, определяющей конструктивные параметры НТО; визуально воспринимаемые несоответствия фасадов НТО установленным требованиям к внешнему виду НТО;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д) отсутствие и (или) изменение параметров элементов благоустройства, размещаемых совместно с НТО и (или) необходимых для функционирования НТО.</w:t>
      </w:r>
    </w:p>
    <w:p w:rsidR="00A75891" w:rsidRPr="00470CD4" w:rsidRDefault="00071D19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Н</w:t>
      </w:r>
      <w:r w:rsidR="00A75891" w:rsidRPr="00470CD4">
        <w:rPr>
          <w:sz w:val="26"/>
          <w:szCs w:val="26"/>
        </w:rPr>
        <w:t>едоступность НТО для покупателей - маломобильных групп населения (МГН), необеспечение равных условий жизнедеятельности для МГН с другими категориями населения, является основанием признать НТО невозможным к использованию по назначению.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 xml:space="preserve">Внешний вид НТО должен соответствовать типовым эскизным проектам, представленным в </w:t>
      </w:r>
      <w:hyperlink w:anchor="P3068" w:tooltip="ТРЕБОВАНИЯ">
        <w:r w:rsidRPr="00470CD4">
          <w:rPr>
            <w:sz w:val="26"/>
            <w:szCs w:val="26"/>
          </w:rPr>
          <w:t>приложении 5</w:t>
        </w:r>
      </w:hyperlink>
      <w:r w:rsidR="00071D19" w:rsidRPr="00470CD4">
        <w:rPr>
          <w:sz w:val="26"/>
          <w:szCs w:val="26"/>
        </w:rPr>
        <w:t xml:space="preserve"> к Правилам благоустройства</w:t>
      </w:r>
      <w:r w:rsidRPr="00470CD4">
        <w:rPr>
          <w:sz w:val="26"/>
          <w:szCs w:val="26"/>
        </w:rPr>
        <w:t xml:space="preserve">, либо </w:t>
      </w:r>
      <w:r w:rsidRPr="00470CD4">
        <w:rPr>
          <w:sz w:val="26"/>
          <w:szCs w:val="26"/>
        </w:rPr>
        <w:lastRenderedPageBreak/>
        <w:t>индивидуальному проекту НТО (разработанному в соответствии с заданной стилистикой типовым решением НТО), согласованным с управлением архитектуры и градостроительства департамента строительства администрации города Нижневартовска.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НТО необходимо устанавливать на твердые виды покрытия, оборудовать осветительным оборудованием, урнами и малыми контейнерами для мусора.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  <w:u w:val="single"/>
        </w:rPr>
        <w:t>Некапитальные сооружения питания необходимо оборудовать туалетами</w:t>
      </w:r>
      <w:r w:rsidRPr="00470CD4">
        <w:rPr>
          <w:sz w:val="26"/>
          <w:szCs w:val="26"/>
        </w:rPr>
        <w:t xml:space="preserve"> в соответствии с требованиями, установленными Санитарно-эпидемиологическими правилами и нормами СанПиН 2.3/2.4.3590-20, утвержденными постановлением Главного государственного санитарного врача Российской Федерации от 27.10.2020 N 32.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При отсутствии в непосредственной близости стационарных и мобильных туалетов владельцы НТО (кроме НТО, осуществляющих производство (приготовление) пищевой продукции) заключают договор на пользование туалетами с близлежащими стационарными организациями.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НТО должны соответствовать следующим требованиям, предъявляемым к основным параметрам, внешнему виду, цветовому решению и материалам, применяемым в отделке: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общая площадь должна составлять не более 18 квадратных метров - для киосков и не более 60 квадратных метров - для павильонов (за исключением киосков и павильонов, установленных до 01.03.2026);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количество этажей - не более одного;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высота от уровня прилегающей территории - не более 3,5 метров (при сгруппированном размещении нескольких НТО они должны иметь одинаковую высоту, а при переменной высоте или при наличии выступающих над основной высотой элементов должны создавать ритмически повторяющийся рисунок силуэта);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высота внутренних помещений - не менее 3,0 метров для торгового зала, не менее 2,7 метров для киосков и иных помещений;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наличие подсветки с энергоэкономичными источниками света по периметру фасада объекта;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облицовка внешних поверхностей (фасадов), включая корпус, фриз, декоративные колонны и элементы, информационные поверхности, осуществляется композитными панелями или кассетным сайдингом нейтральных цветов - серого, бежевого, коричневого и их оттенков с возможным использованием акцентного белого цвета (не допускается применение для изготовления и облицовки кирпича, блоков, бетона, профлиста, рулонной и шиферной кровли; допускается использование в облицовке вставок из натурального дерева, в том числе реечных, а также фризовых частей). Обязательные требования к материалам распространяются, установленные настоящим абзацем на все нестационарные торговые объекты вне зависимости от времени их установки;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окна и витрины должны иметь единый цветовой и стилистический характер в соответствии с архитектурным решением фасада;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 xml:space="preserve">- наличие информационной конструкции о наименовании объекта (размещается в границах фриза, в виде надписи из объемных световых букв или плоских букв), а также вывески с информацией о фирменном наименовании (наименовании) организации, месте ее нахождения (адрес) и режиме ее работы, оформленной в соответствии с </w:t>
      </w:r>
      <w:hyperlink w:anchor="P3068" w:tooltip="ТРЕБОВАНИЯ">
        <w:r w:rsidRPr="00470CD4">
          <w:rPr>
            <w:color w:val="0000FF"/>
            <w:sz w:val="26"/>
            <w:szCs w:val="26"/>
          </w:rPr>
          <w:t>требованиями</w:t>
        </w:r>
      </w:hyperlink>
      <w:r w:rsidRPr="00470CD4">
        <w:rPr>
          <w:sz w:val="26"/>
          <w:szCs w:val="26"/>
        </w:rPr>
        <w:t>, установленными приложением 5 к настоящим Правилам.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 xml:space="preserve">При остеклении витрин применяются безосколочные, ударостойкие материалы, безопасные упрочняющие многослойные пленочные покрытия, поликарбонатные </w:t>
      </w:r>
      <w:r w:rsidRPr="00470CD4">
        <w:rPr>
          <w:sz w:val="26"/>
          <w:szCs w:val="26"/>
        </w:rPr>
        <w:lastRenderedPageBreak/>
        <w:t>стекла. Фасады рекомендуется обрабатывать покрытием антиграффити.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Высота конструкции для киосков и павильонов не должна превышать 3,5 метров, заглубление - не более 0,4 метров. Габариты и конструктивные особенности павильонов должны обеспечивать доступ для маломобильных групп населения: минимальная ширина пандуса составляет 0,9 метров, минимальная ширина дверного проема входа в павильон - 0,9 метров. Устройство прилавка для киосков и павильонов рекомендуется на высоте 0,7 - 0,9 метров. Необходимо обеспечить достаточное освещение элементов в темное время суток встроенными или отдельно стоящими светильниками. На прилегающей территории необходимо обеспечить наличие урн, уличной мебели для организации мест кратковременного отдыха, установка обогревающих приборов.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Основными элементами благоустройства НТО являются укладка тротуарной плитки, установка урны и скамьи, установка дополнительного уличного освещения и оборудование велосипедной парковки, озеленение территории, в случае необходимости устанавливается пешеходное ограждение.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Техническая оснащенность НТО должна отвечать санитарным, противопожарным, экологическим правилам, правилам продажи отдельных видов товаров, соответствовать требованиям безопасности для жизни и здоровья людей, условиям приема, хранения и реализации товара, а также обеспечивать соблюдение условий труда и правил личной гигиены работников.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НТО должны отвечать удобству и функциональности для осуществления торговой деятельности.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Допускается установка рольставней, утвержденных архитектурным паспортом НТО.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В случае оборудования НТО кондиционером, его наружный блок должен быть расположен на стальных салазках на крыше по центру с тыльной стороны фасада.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Отступление от требований к внешнему виду, конструктивным особенностям и параметрам НТО, размещаемых на городских территориях, допускается в случае, если указанное отступление обусловлено действующим техническим регламентом, утвержденной нормативной документацией, санитарными правилами и нормами.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Не допускается размещение НТО: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в арках зданий;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на элементах благоустройства, площадках (детских, отдыха, спортивных), транспортных стоянках;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на газонах и прочих объектах озеленения;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на тротуарах (за исключением скверов, парков, площадей, бульваров);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на инженерных сетях и коммуникациях;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в охранных зонах инженерных сетей и коммуникаций;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в помещении (на площади) остановочного павильона, расположенного в полосе отвода автомобильных дорог (за исключением собственников остановочных павильонов с торговой площадью с которыми были заключены договоры аренды до вступления в силу настоящих Правил, вендинга), размещения за пределами посадочных площадок и площадок ожидания при соблюдении минимально необходимых требований: площадка для стоянки легковых автомобилей, мусоросборники;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на обочинах дорог общего пользования;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в случае, если размещение НТО уменьшает ширину пешеходных зон до 3 метров и менее;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в случае, если расстояние от края проезжей части до НТО составляет менее 3 метров;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lastRenderedPageBreak/>
        <w:t>- в случае, если размещение НТО препятствует свободному подъезду пожарной, аварийно-спасательной техники или доступу к объектам инженерной инфраструктуры (объекты энергоснабжения и освещения, колодцы, краны, гидранты и т.д.);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ближе 25 метров от вентиляционных шахт, ближе 6 метров от глухих фасадов зданий, ближе 15 метров от окон жилых помещений и витрин торговых предприятий, ближе 3 метров от ствола дерева, 1,5 метра от внешней границы кроны кустарников.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Запрещается: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установка НТО, расположенных на земельных участках, находящихся в государственной собственности или муниципальной собственности города Нижневартовска, в том числе без формирования земельных участков на территориях общего пользования, а также на земельных участках, расположенных на территории города Нижневартовска, государственная собственность на которые не разграничена, вне мест, предусмотренных Схемой размещения НТО на территории города Нижневартовска;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торговля из ящиков, мешков, картонных коробок или другой случайной тары вне НТО;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возведение у НТО пристройки, козырька, загородки, решетки, навеса, холодильного и иного оборудования, не предусмотренного проектом;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размещение нестационарного холодильного оборудования вне НТО;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складирование тары, поддонов, мусора, уборочного инвентаря и прочих подобных элементов на крыше НТО и на прилегающей к нему территории;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размещение рекламно-информационного оформления (включая самоклеящуюся пленку) на остеклении и наружных стенах, а также выносных конструкциях, выступающих за габариты НТО;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использовани</w:t>
      </w:r>
      <w:r w:rsidR="00071D19" w:rsidRPr="00470CD4">
        <w:rPr>
          <w:sz w:val="26"/>
          <w:szCs w:val="26"/>
        </w:rPr>
        <w:t>е НТО не по целевому назначению.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Обязанность по содержанию территории в надлежащем санитарном состоянии, а также по обеспечению сохранности зеленых насаждений и осуществлению ее благоустройства возлагается на собственников (правообладателей) НТО, если иное не предусмотрено законом или договором.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При эксплуатации НТО собственники указанных объектов обязаны обеспечивать соблюдение требований, предусмотренных нормативными правовыми актами Российской Федерации, Ханты-Мансийского автономного округа - Югры, муниципального образования города Нижневартовска, в том числе производить: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очистку прилегающей территории от снега, наледи регулярно по мере необходимости;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незамедлительную уборку снежной массы и скола льда с тротуаров и подходов к НТО с последующим временным складированием на специально выделенных площадках в пределах занимаемого участка;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производить вывоз снежной массы по мере накопления;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посыпку прилегающей территории противогололедным материалом по мере необходимости;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вывоз мусора в соответствии с договором и графиком на вывоз мусора;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скос травы на прилегающей к НТО территории;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ремонт и замену пришедших в негодность частей конструкций по мере необходимости, а в случаях угрозы безопасности граждан - незамедлительно;</w:t>
      </w:r>
    </w:p>
    <w:p w:rsidR="00A75891" w:rsidRPr="00470CD4" w:rsidRDefault="00A75891" w:rsidP="00A75891">
      <w:pPr>
        <w:pStyle w:val="ConsPlusNormal"/>
        <w:ind w:firstLine="540"/>
        <w:jc w:val="both"/>
        <w:rPr>
          <w:sz w:val="26"/>
          <w:szCs w:val="26"/>
        </w:rPr>
      </w:pPr>
      <w:r w:rsidRPr="00470CD4">
        <w:rPr>
          <w:sz w:val="26"/>
          <w:szCs w:val="26"/>
        </w:rPr>
        <w:t>- регулярную помывку и очистку НТО от вандальных надписей, граффити, "визуального" мусора.</w:t>
      </w:r>
    </w:p>
    <w:p w:rsidR="00A75891" w:rsidRPr="00A75891" w:rsidRDefault="00ED2C84" w:rsidP="00F35CF3">
      <w:pPr>
        <w:pStyle w:val="ConsPlusNormal"/>
        <w:ind w:firstLine="540"/>
        <w:jc w:val="both"/>
        <w:rPr>
          <w:b/>
          <w:bCs/>
          <w:sz w:val="24"/>
          <w:szCs w:val="24"/>
        </w:rPr>
      </w:pPr>
      <w:r w:rsidRPr="00470CD4">
        <w:rPr>
          <w:sz w:val="26"/>
          <w:szCs w:val="26"/>
        </w:rPr>
        <w:t>Обязательные требования</w:t>
      </w:r>
      <w:r w:rsidR="00A75891" w:rsidRPr="00470CD4">
        <w:rPr>
          <w:sz w:val="26"/>
          <w:szCs w:val="26"/>
        </w:rPr>
        <w:t xml:space="preserve"> распространяются на все НТО (за исключением требования к площади киосков и павильонов, установленных до 01.03.2026).</w:t>
      </w:r>
    </w:p>
    <w:sectPr w:rsidR="00A75891" w:rsidRPr="00A75891" w:rsidSect="00470CD4">
      <w:headerReference w:type="default" r:id="rId8"/>
      <w:headerReference w:type="first" r:id="rId9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4F0" w:rsidRDefault="003A34F0" w:rsidP="003A34F0">
      <w:r>
        <w:separator/>
      </w:r>
    </w:p>
  </w:endnote>
  <w:endnote w:type="continuationSeparator" w:id="0">
    <w:p w:rsidR="003A34F0" w:rsidRDefault="003A34F0" w:rsidP="003A3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4F0" w:rsidRDefault="003A34F0" w:rsidP="003A34F0">
      <w:r>
        <w:separator/>
      </w:r>
    </w:p>
  </w:footnote>
  <w:footnote w:type="continuationSeparator" w:id="0">
    <w:p w:rsidR="003A34F0" w:rsidRDefault="003A34F0" w:rsidP="003A3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891" w:rsidRDefault="00A75891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 w:rsidR="001A2093">
      <w:rPr>
        <w:noProof/>
      </w:rPr>
      <w:t>5</w:t>
    </w:r>
    <w:r>
      <w:fldChar w:fldCharType="end"/>
    </w:r>
  </w:p>
  <w:p w:rsidR="00A75891" w:rsidRDefault="00A75891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CD4" w:rsidRDefault="00470CD4">
    <w:pPr>
      <w:pStyle w:val="af0"/>
      <w:jc w:val="center"/>
    </w:pPr>
  </w:p>
  <w:p w:rsidR="00470CD4" w:rsidRDefault="00470CD4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64973"/>
    <w:multiLevelType w:val="hybridMultilevel"/>
    <w:tmpl w:val="3BBA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D3561"/>
    <w:multiLevelType w:val="hybridMultilevel"/>
    <w:tmpl w:val="C66806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E12F6"/>
    <w:multiLevelType w:val="hybridMultilevel"/>
    <w:tmpl w:val="5AB0AB3A"/>
    <w:lvl w:ilvl="0" w:tplc="AF9446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28A1D36"/>
    <w:multiLevelType w:val="hybridMultilevel"/>
    <w:tmpl w:val="F1B080BA"/>
    <w:lvl w:ilvl="0" w:tplc="102A863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 w15:restartNumberingAfterBreak="0">
    <w:nsid w:val="3F01389C"/>
    <w:multiLevelType w:val="hybridMultilevel"/>
    <w:tmpl w:val="A1B67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C288F"/>
    <w:multiLevelType w:val="hybridMultilevel"/>
    <w:tmpl w:val="82A69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B64730"/>
    <w:multiLevelType w:val="hybridMultilevel"/>
    <w:tmpl w:val="5C7C6A8A"/>
    <w:lvl w:ilvl="0" w:tplc="0419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7" w15:restartNumberingAfterBreak="0">
    <w:nsid w:val="72964103"/>
    <w:multiLevelType w:val="hybridMultilevel"/>
    <w:tmpl w:val="0E1EE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371434"/>
    <w:multiLevelType w:val="hybridMultilevel"/>
    <w:tmpl w:val="FDA42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4538"/>
    <w:rsid w:val="00001255"/>
    <w:rsid w:val="000015E4"/>
    <w:rsid w:val="000107F7"/>
    <w:rsid w:val="000132E2"/>
    <w:rsid w:val="000134E1"/>
    <w:rsid w:val="00013CCE"/>
    <w:rsid w:val="00015187"/>
    <w:rsid w:val="00017C28"/>
    <w:rsid w:val="00020268"/>
    <w:rsid w:val="000237E0"/>
    <w:rsid w:val="0002426F"/>
    <w:rsid w:val="000250D7"/>
    <w:rsid w:val="000266D9"/>
    <w:rsid w:val="00027CCC"/>
    <w:rsid w:val="000301A3"/>
    <w:rsid w:val="00034D51"/>
    <w:rsid w:val="00036AF5"/>
    <w:rsid w:val="00040C28"/>
    <w:rsid w:val="000411A2"/>
    <w:rsid w:val="000435B2"/>
    <w:rsid w:val="00043C04"/>
    <w:rsid w:val="00043D05"/>
    <w:rsid w:val="00044805"/>
    <w:rsid w:val="00046927"/>
    <w:rsid w:val="00051679"/>
    <w:rsid w:val="000546B8"/>
    <w:rsid w:val="000608F7"/>
    <w:rsid w:val="00063740"/>
    <w:rsid w:val="00065BD5"/>
    <w:rsid w:val="0006632D"/>
    <w:rsid w:val="00071D19"/>
    <w:rsid w:val="00071DD2"/>
    <w:rsid w:val="00073201"/>
    <w:rsid w:val="00074446"/>
    <w:rsid w:val="000749DE"/>
    <w:rsid w:val="0007654C"/>
    <w:rsid w:val="00077D5B"/>
    <w:rsid w:val="000840F9"/>
    <w:rsid w:val="00084F8B"/>
    <w:rsid w:val="00092C53"/>
    <w:rsid w:val="0009302E"/>
    <w:rsid w:val="00093634"/>
    <w:rsid w:val="00093E4D"/>
    <w:rsid w:val="00095073"/>
    <w:rsid w:val="000960EF"/>
    <w:rsid w:val="000A31ED"/>
    <w:rsid w:val="000A41A8"/>
    <w:rsid w:val="000A4755"/>
    <w:rsid w:val="000A6340"/>
    <w:rsid w:val="000A7485"/>
    <w:rsid w:val="000A7E08"/>
    <w:rsid w:val="000B2F8B"/>
    <w:rsid w:val="000B34BD"/>
    <w:rsid w:val="000C1B40"/>
    <w:rsid w:val="000C1E5E"/>
    <w:rsid w:val="000C3539"/>
    <w:rsid w:val="000C4660"/>
    <w:rsid w:val="000C6E76"/>
    <w:rsid w:val="000D5602"/>
    <w:rsid w:val="000D64B3"/>
    <w:rsid w:val="000D7362"/>
    <w:rsid w:val="000D7365"/>
    <w:rsid w:val="000D7880"/>
    <w:rsid w:val="000E4125"/>
    <w:rsid w:val="000E5696"/>
    <w:rsid w:val="00104DE3"/>
    <w:rsid w:val="0010581D"/>
    <w:rsid w:val="00107CF9"/>
    <w:rsid w:val="00110A26"/>
    <w:rsid w:val="001148A6"/>
    <w:rsid w:val="00115809"/>
    <w:rsid w:val="001220D3"/>
    <w:rsid w:val="00125133"/>
    <w:rsid w:val="001271AB"/>
    <w:rsid w:val="00127A57"/>
    <w:rsid w:val="00131DDB"/>
    <w:rsid w:val="0013403F"/>
    <w:rsid w:val="00134494"/>
    <w:rsid w:val="00135B0E"/>
    <w:rsid w:val="00135DB1"/>
    <w:rsid w:val="00136744"/>
    <w:rsid w:val="001418B1"/>
    <w:rsid w:val="00141AAE"/>
    <w:rsid w:val="00143B8C"/>
    <w:rsid w:val="00143DCA"/>
    <w:rsid w:val="00147F2F"/>
    <w:rsid w:val="00150ED0"/>
    <w:rsid w:val="00151C18"/>
    <w:rsid w:val="001532CC"/>
    <w:rsid w:val="001536E4"/>
    <w:rsid w:val="00153DA2"/>
    <w:rsid w:val="00154E65"/>
    <w:rsid w:val="001569CD"/>
    <w:rsid w:val="001602F5"/>
    <w:rsid w:val="00160A39"/>
    <w:rsid w:val="00160B01"/>
    <w:rsid w:val="001644F0"/>
    <w:rsid w:val="00164B7B"/>
    <w:rsid w:val="00165C8C"/>
    <w:rsid w:val="00170193"/>
    <w:rsid w:val="00174863"/>
    <w:rsid w:val="0017702B"/>
    <w:rsid w:val="001807D0"/>
    <w:rsid w:val="00180904"/>
    <w:rsid w:val="00180CD9"/>
    <w:rsid w:val="0018125D"/>
    <w:rsid w:val="0018308E"/>
    <w:rsid w:val="00184BEA"/>
    <w:rsid w:val="00185740"/>
    <w:rsid w:val="00185A8A"/>
    <w:rsid w:val="001929FA"/>
    <w:rsid w:val="001932FC"/>
    <w:rsid w:val="001937C4"/>
    <w:rsid w:val="00193D25"/>
    <w:rsid w:val="001A0A66"/>
    <w:rsid w:val="001A2093"/>
    <w:rsid w:val="001A2458"/>
    <w:rsid w:val="001A3FD4"/>
    <w:rsid w:val="001A7E10"/>
    <w:rsid w:val="001B3763"/>
    <w:rsid w:val="001B475F"/>
    <w:rsid w:val="001B61B0"/>
    <w:rsid w:val="001C0352"/>
    <w:rsid w:val="001C09DD"/>
    <w:rsid w:val="001C23D5"/>
    <w:rsid w:val="001C2CE7"/>
    <w:rsid w:val="001C4538"/>
    <w:rsid w:val="001C4B1B"/>
    <w:rsid w:val="001C5A6E"/>
    <w:rsid w:val="001C739E"/>
    <w:rsid w:val="001D2711"/>
    <w:rsid w:val="001D2AD7"/>
    <w:rsid w:val="001D7E3F"/>
    <w:rsid w:val="001D7E4E"/>
    <w:rsid w:val="001E6057"/>
    <w:rsid w:val="001E79B8"/>
    <w:rsid w:val="001F3E6C"/>
    <w:rsid w:val="001F6F51"/>
    <w:rsid w:val="00200860"/>
    <w:rsid w:val="0020199A"/>
    <w:rsid w:val="00203304"/>
    <w:rsid w:val="00214A4D"/>
    <w:rsid w:val="002156E6"/>
    <w:rsid w:val="00217BB7"/>
    <w:rsid w:val="00217F6C"/>
    <w:rsid w:val="00221247"/>
    <w:rsid w:val="002244CD"/>
    <w:rsid w:val="002269A8"/>
    <w:rsid w:val="00231BC8"/>
    <w:rsid w:val="00232CCC"/>
    <w:rsid w:val="002331F8"/>
    <w:rsid w:val="00240646"/>
    <w:rsid w:val="00242D38"/>
    <w:rsid w:val="00243378"/>
    <w:rsid w:val="00243AEE"/>
    <w:rsid w:val="00245E52"/>
    <w:rsid w:val="00245FFF"/>
    <w:rsid w:val="002474AC"/>
    <w:rsid w:val="002476D1"/>
    <w:rsid w:val="002506AC"/>
    <w:rsid w:val="002521C2"/>
    <w:rsid w:val="00255535"/>
    <w:rsid w:val="00255580"/>
    <w:rsid w:val="00257DA1"/>
    <w:rsid w:val="00261299"/>
    <w:rsid w:val="002616E9"/>
    <w:rsid w:val="0026204D"/>
    <w:rsid w:val="00265B37"/>
    <w:rsid w:val="002704AD"/>
    <w:rsid w:val="00273283"/>
    <w:rsid w:val="002805CF"/>
    <w:rsid w:val="00281C16"/>
    <w:rsid w:val="00286B41"/>
    <w:rsid w:val="00287BFF"/>
    <w:rsid w:val="002902A9"/>
    <w:rsid w:val="00291716"/>
    <w:rsid w:val="0029346E"/>
    <w:rsid w:val="00296DD1"/>
    <w:rsid w:val="002A1232"/>
    <w:rsid w:val="002A428C"/>
    <w:rsid w:val="002A4ECD"/>
    <w:rsid w:val="002A5174"/>
    <w:rsid w:val="002B151B"/>
    <w:rsid w:val="002B2B38"/>
    <w:rsid w:val="002B4153"/>
    <w:rsid w:val="002B4F5A"/>
    <w:rsid w:val="002C2E8C"/>
    <w:rsid w:val="002C5AE2"/>
    <w:rsid w:val="002C6938"/>
    <w:rsid w:val="002C6AF5"/>
    <w:rsid w:val="002C6E7A"/>
    <w:rsid w:val="002D34D8"/>
    <w:rsid w:val="002E1CC3"/>
    <w:rsid w:val="002F2443"/>
    <w:rsid w:val="002F31AC"/>
    <w:rsid w:val="002F47E3"/>
    <w:rsid w:val="002F79A1"/>
    <w:rsid w:val="00300B12"/>
    <w:rsid w:val="003020B3"/>
    <w:rsid w:val="00303B6F"/>
    <w:rsid w:val="003047AD"/>
    <w:rsid w:val="00304D3E"/>
    <w:rsid w:val="00305BAB"/>
    <w:rsid w:val="0030744E"/>
    <w:rsid w:val="003120D9"/>
    <w:rsid w:val="0031343E"/>
    <w:rsid w:val="00314421"/>
    <w:rsid w:val="0031468C"/>
    <w:rsid w:val="00315C7A"/>
    <w:rsid w:val="003220FB"/>
    <w:rsid w:val="00324914"/>
    <w:rsid w:val="00325135"/>
    <w:rsid w:val="00325217"/>
    <w:rsid w:val="00334519"/>
    <w:rsid w:val="00335D6D"/>
    <w:rsid w:val="00341DAB"/>
    <w:rsid w:val="00342463"/>
    <w:rsid w:val="00346E0E"/>
    <w:rsid w:val="00352AE3"/>
    <w:rsid w:val="00354D66"/>
    <w:rsid w:val="00356E8D"/>
    <w:rsid w:val="00367B97"/>
    <w:rsid w:val="00367C73"/>
    <w:rsid w:val="0037352D"/>
    <w:rsid w:val="00373BBB"/>
    <w:rsid w:val="00381294"/>
    <w:rsid w:val="0038171E"/>
    <w:rsid w:val="00384B83"/>
    <w:rsid w:val="00390CA3"/>
    <w:rsid w:val="003914D9"/>
    <w:rsid w:val="003915A8"/>
    <w:rsid w:val="003932D7"/>
    <w:rsid w:val="00395B64"/>
    <w:rsid w:val="003A34F0"/>
    <w:rsid w:val="003A4857"/>
    <w:rsid w:val="003A5938"/>
    <w:rsid w:val="003B6AB6"/>
    <w:rsid w:val="003B6AD5"/>
    <w:rsid w:val="003C10E2"/>
    <w:rsid w:val="003C2265"/>
    <w:rsid w:val="003C2E0A"/>
    <w:rsid w:val="003C4877"/>
    <w:rsid w:val="003C60A7"/>
    <w:rsid w:val="003D0993"/>
    <w:rsid w:val="003D0D28"/>
    <w:rsid w:val="003D178F"/>
    <w:rsid w:val="003D2511"/>
    <w:rsid w:val="003D2537"/>
    <w:rsid w:val="003D6773"/>
    <w:rsid w:val="003E2413"/>
    <w:rsid w:val="003E2F55"/>
    <w:rsid w:val="003E4A4D"/>
    <w:rsid w:val="003E4CFE"/>
    <w:rsid w:val="003E55F6"/>
    <w:rsid w:val="003E6AC2"/>
    <w:rsid w:val="003F46EA"/>
    <w:rsid w:val="003F4C1B"/>
    <w:rsid w:val="003F5067"/>
    <w:rsid w:val="003F6815"/>
    <w:rsid w:val="003F6DF6"/>
    <w:rsid w:val="003F7D0A"/>
    <w:rsid w:val="004032DF"/>
    <w:rsid w:val="00405FD3"/>
    <w:rsid w:val="00406C30"/>
    <w:rsid w:val="00407F36"/>
    <w:rsid w:val="00412602"/>
    <w:rsid w:val="00421CCC"/>
    <w:rsid w:val="004242E6"/>
    <w:rsid w:val="00426C7F"/>
    <w:rsid w:val="004278F1"/>
    <w:rsid w:val="00427E5B"/>
    <w:rsid w:val="00431882"/>
    <w:rsid w:val="00436289"/>
    <w:rsid w:val="004376B9"/>
    <w:rsid w:val="00437902"/>
    <w:rsid w:val="00440F8C"/>
    <w:rsid w:val="00441A6C"/>
    <w:rsid w:val="00443BD8"/>
    <w:rsid w:val="00445B80"/>
    <w:rsid w:val="00450D7A"/>
    <w:rsid w:val="00452E72"/>
    <w:rsid w:val="00453AF6"/>
    <w:rsid w:val="00455116"/>
    <w:rsid w:val="00456C13"/>
    <w:rsid w:val="00457862"/>
    <w:rsid w:val="004578EC"/>
    <w:rsid w:val="00461CE1"/>
    <w:rsid w:val="004661AB"/>
    <w:rsid w:val="00467A3E"/>
    <w:rsid w:val="00470CD4"/>
    <w:rsid w:val="004719BF"/>
    <w:rsid w:val="00471B9B"/>
    <w:rsid w:val="004727E8"/>
    <w:rsid w:val="004728A1"/>
    <w:rsid w:val="00475201"/>
    <w:rsid w:val="00482ADF"/>
    <w:rsid w:val="00482D79"/>
    <w:rsid w:val="0049198F"/>
    <w:rsid w:val="00493E3B"/>
    <w:rsid w:val="00494BB4"/>
    <w:rsid w:val="00497D7C"/>
    <w:rsid w:val="004A07A3"/>
    <w:rsid w:val="004A2412"/>
    <w:rsid w:val="004A574E"/>
    <w:rsid w:val="004A7F90"/>
    <w:rsid w:val="004B1405"/>
    <w:rsid w:val="004B1BC0"/>
    <w:rsid w:val="004B2206"/>
    <w:rsid w:val="004B324D"/>
    <w:rsid w:val="004B3435"/>
    <w:rsid w:val="004B39BF"/>
    <w:rsid w:val="004B424C"/>
    <w:rsid w:val="004B6F95"/>
    <w:rsid w:val="004C5318"/>
    <w:rsid w:val="004C71FD"/>
    <w:rsid w:val="004D03E2"/>
    <w:rsid w:val="004D09A3"/>
    <w:rsid w:val="004D7D1C"/>
    <w:rsid w:val="004E0C01"/>
    <w:rsid w:val="004E1189"/>
    <w:rsid w:val="004E13B7"/>
    <w:rsid w:val="004E4475"/>
    <w:rsid w:val="004E47A5"/>
    <w:rsid w:val="004F0D19"/>
    <w:rsid w:val="004F3497"/>
    <w:rsid w:val="004F7D82"/>
    <w:rsid w:val="0050018C"/>
    <w:rsid w:val="00500F32"/>
    <w:rsid w:val="005061D4"/>
    <w:rsid w:val="0051292A"/>
    <w:rsid w:val="005138ED"/>
    <w:rsid w:val="00514068"/>
    <w:rsid w:val="005169D3"/>
    <w:rsid w:val="00520C54"/>
    <w:rsid w:val="00520E64"/>
    <w:rsid w:val="00522407"/>
    <w:rsid w:val="00524542"/>
    <w:rsid w:val="005301FA"/>
    <w:rsid w:val="00530A99"/>
    <w:rsid w:val="00530E7F"/>
    <w:rsid w:val="00533BD0"/>
    <w:rsid w:val="00533E74"/>
    <w:rsid w:val="00546328"/>
    <w:rsid w:val="00546E46"/>
    <w:rsid w:val="00547470"/>
    <w:rsid w:val="005510EE"/>
    <w:rsid w:val="005534A8"/>
    <w:rsid w:val="00554DCB"/>
    <w:rsid w:val="00560062"/>
    <w:rsid w:val="00564466"/>
    <w:rsid w:val="00564904"/>
    <w:rsid w:val="005654B3"/>
    <w:rsid w:val="00565BE8"/>
    <w:rsid w:val="00572883"/>
    <w:rsid w:val="00572FA4"/>
    <w:rsid w:val="00574DEA"/>
    <w:rsid w:val="005779C3"/>
    <w:rsid w:val="00580542"/>
    <w:rsid w:val="00580B89"/>
    <w:rsid w:val="00582810"/>
    <w:rsid w:val="00584F26"/>
    <w:rsid w:val="00585520"/>
    <w:rsid w:val="005862FF"/>
    <w:rsid w:val="0058791C"/>
    <w:rsid w:val="00597F01"/>
    <w:rsid w:val="005A1F26"/>
    <w:rsid w:val="005A3A9E"/>
    <w:rsid w:val="005B00FE"/>
    <w:rsid w:val="005B1577"/>
    <w:rsid w:val="005B4C65"/>
    <w:rsid w:val="005B5334"/>
    <w:rsid w:val="005B5673"/>
    <w:rsid w:val="005C1F5D"/>
    <w:rsid w:val="005C21D6"/>
    <w:rsid w:val="005C3E57"/>
    <w:rsid w:val="005C45D5"/>
    <w:rsid w:val="005C7EB5"/>
    <w:rsid w:val="005D28CE"/>
    <w:rsid w:val="005D5592"/>
    <w:rsid w:val="005D642E"/>
    <w:rsid w:val="005D74BF"/>
    <w:rsid w:val="005D7DB2"/>
    <w:rsid w:val="005E1670"/>
    <w:rsid w:val="005E386E"/>
    <w:rsid w:val="005E4DEA"/>
    <w:rsid w:val="005E6B0A"/>
    <w:rsid w:val="005F254C"/>
    <w:rsid w:val="005F2551"/>
    <w:rsid w:val="005F3876"/>
    <w:rsid w:val="00604198"/>
    <w:rsid w:val="00613836"/>
    <w:rsid w:val="006138FF"/>
    <w:rsid w:val="006173F8"/>
    <w:rsid w:val="00620B8A"/>
    <w:rsid w:val="006210E1"/>
    <w:rsid w:val="0062397C"/>
    <w:rsid w:val="0062488C"/>
    <w:rsid w:val="00625DDD"/>
    <w:rsid w:val="006305E8"/>
    <w:rsid w:val="00632B0E"/>
    <w:rsid w:val="006333D1"/>
    <w:rsid w:val="00633E4C"/>
    <w:rsid w:val="006343AB"/>
    <w:rsid w:val="00635D04"/>
    <w:rsid w:val="00636190"/>
    <w:rsid w:val="00637845"/>
    <w:rsid w:val="0064032A"/>
    <w:rsid w:val="00641F01"/>
    <w:rsid w:val="0064407D"/>
    <w:rsid w:val="00647CC4"/>
    <w:rsid w:val="006552FA"/>
    <w:rsid w:val="00657FB8"/>
    <w:rsid w:val="00660348"/>
    <w:rsid w:val="0067080F"/>
    <w:rsid w:val="00671378"/>
    <w:rsid w:val="00677A2E"/>
    <w:rsid w:val="00680346"/>
    <w:rsid w:val="00683292"/>
    <w:rsid w:val="006869D0"/>
    <w:rsid w:val="00691D6A"/>
    <w:rsid w:val="00694825"/>
    <w:rsid w:val="00697799"/>
    <w:rsid w:val="00697955"/>
    <w:rsid w:val="006A2E24"/>
    <w:rsid w:val="006A4D67"/>
    <w:rsid w:val="006A4E61"/>
    <w:rsid w:val="006B12F7"/>
    <w:rsid w:val="006B1407"/>
    <w:rsid w:val="006B2700"/>
    <w:rsid w:val="006C20E2"/>
    <w:rsid w:val="006C2BAE"/>
    <w:rsid w:val="006C3BB4"/>
    <w:rsid w:val="006C4950"/>
    <w:rsid w:val="006D1E0A"/>
    <w:rsid w:val="006D6CE9"/>
    <w:rsid w:val="006D771B"/>
    <w:rsid w:val="006E4971"/>
    <w:rsid w:val="006E51FB"/>
    <w:rsid w:val="006E6E3D"/>
    <w:rsid w:val="006F1411"/>
    <w:rsid w:val="006F4CBD"/>
    <w:rsid w:val="006F5B92"/>
    <w:rsid w:val="006F7060"/>
    <w:rsid w:val="006F752D"/>
    <w:rsid w:val="0070302C"/>
    <w:rsid w:val="0070417B"/>
    <w:rsid w:val="007044E2"/>
    <w:rsid w:val="00705FE2"/>
    <w:rsid w:val="00707B07"/>
    <w:rsid w:val="00707EEB"/>
    <w:rsid w:val="00710396"/>
    <w:rsid w:val="00710CD6"/>
    <w:rsid w:val="0071203E"/>
    <w:rsid w:val="007122C7"/>
    <w:rsid w:val="0071444E"/>
    <w:rsid w:val="00715578"/>
    <w:rsid w:val="007226AC"/>
    <w:rsid w:val="007242F9"/>
    <w:rsid w:val="007245F2"/>
    <w:rsid w:val="00724ED3"/>
    <w:rsid w:val="00724F3E"/>
    <w:rsid w:val="00725C65"/>
    <w:rsid w:val="0072604B"/>
    <w:rsid w:val="00731716"/>
    <w:rsid w:val="00734E30"/>
    <w:rsid w:val="007359F5"/>
    <w:rsid w:val="00737B5C"/>
    <w:rsid w:val="00741BCC"/>
    <w:rsid w:val="007425B8"/>
    <w:rsid w:val="00744093"/>
    <w:rsid w:val="00744231"/>
    <w:rsid w:val="0074484B"/>
    <w:rsid w:val="00746351"/>
    <w:rsid w:val="007473C1"/>
    <w:rsid w:val="0075072C"/>
    <w:rsid w:val="007615F7"/>
    <w:rsid w:val="0076430A"/>
    <w:rsid w:val="00765118"/>
    <w:rsid w:val="007821D0"/>
    <w:rsid w:val="0078220B"/>
    <w:rsid w:val="00782318"/>
    <w:rsid w:val="00784729"/>
    <w:rsid w:val="007848F1"/>
    <w:rsid w:val="00784ADB"/>
    <w:rsid w:val="00786DCB"/>
    <w:rsid w:val="00786F37"/>
    <w:rsid w:val="00790B94"/>
    <w:rsid w:val="00790CAB"/>
    <w:rsid w:val="0079302F"/>
    <w:rsid w:val="007948E6"/>
    <w:rsid w:val="00796A32"/>
    <w:rsid w:val="007A0505"/>
    <w:rsid w:val="007A5F59"/>
    <w:rsid w:val="007B0E3F"/>
    <w:rsid w:val="007B2302"/>
    <w:rsid w:val="007B26E7"/>
    <w:rsid w:val="007B27DA"/>
    <w:rsid w:val="007B3D48"/>
    <w:rsid w:val="007B4105"/>
    <w:rsid w:val="007B6F10"/>
    <w:rsid w:val="007B711B"/>
    <w:rsid w:val="007C42E1"/>
    <w:rsid w:val="007C5272"/>
    <w:rsid w:val="007D76EA"/>
    <w:rsid w:val="007E03F7"/>
    <w:rsid w:val="007E047B"/>
    <w:rsid w:val="007E07E3"/>
    <w:rsid w:val="007E1794"/>
    <w:rsid w:val="007E236D"/>
    <w:rsid w:val="007E5DB8"/>
    <w:rsid w:val="007E61AA"/>
    <w:rsid w:val="007F0F38"/>
    <w:rsid w:val="007F2808"/>
    <w:rsid w:val="007F56DC"/>
    <w:rsid w:val="007F6EA0"/>
    <w:rsid w:val="007F76AA"/>
    <w:rsid w:val="008009C8"/>
    <w:rsid w:val="0080103D"/>
    <w:rsid w:val="008014EC"/>
    <w:rsid w:val="00802C00"/>
    <w:rsid w:val="00803076"/>
    <w:rsid w:val="00807476"/>
    <w:rsid w:val="008078D3"/>
    <w:rsid w:val="00815D4B"/>
    <w:rsid w:val="00821396"/>
    <w:rsid w:val="0082279F"/>
    <w:rsid w:val="008247A8"/>
    <w:rsid w:val="0083001A"/>
    <w:rsid w:val="00834113"/>
    <w:rsid w:val="008365A3"/>
    <w:rsid w:val="008375B2"/>
    <w:rsid w:val="008419A3"/>
    <w:rsid w:val="00846472"/>
    <w:rsid w:val="00847F84"/>
    <w:rsid w:val="0085075C"/>
    <w:rsid w:val="00853D4A"/>
    <w:rsid w:val="0085409C"/>
    <w:rsid w:val="0086062B"/>
    <w:rsid w:val="00861B08"/>
    <w:rsid w:val="00861EA0"/>
    <w:rsid w:val="00863DBC"/>
    <w:rsid w:val="00864279"/>
    <w:rsid w:val="0086534E"/>
    <w:rsid w:val="00870DDB"/>
    <w:rsid w:val="008727D1"/>
    <w:rsid w:val="008744FF"/>
    <w:rsid w:val="00874872"/>
    <w:rsid w:val="008749B0"/>
    <w:rsid w:val="00876EED"/>
    <w:rsid w:val="00892CEC"/>
    <w:rsid w:val="00894D15"/>
    <w:rsid w:val="00895DCA"/>
    <w:rsid w:val="008961FA"/>
    <w:rsid w:val="0089712E"/>
    <w:rsid w:val="008A0DFF"/>
    <w:rsid w:val="008A1650"/>
    <w:rsid w:val="008A2CAB"/>
    <w:rsid w:val="008A6E53"/>
    <w:rsid w:val="008B0805"/>
    <w:rsid w:val="008B1A26"/>
    <w:rsid w:val="008B1DD3"/>
    <w:rsid w:val="008B33AC"/>
    <w:rsid w:val="008B3B03"/>
    <w:rsid w:val="008B43D8"/>
    <w:rsid w:val="008B466E"/>
    <w:rsid w:val="008B55BE"/>
    <w:rsid w:val="008C12B2"/>
    <w:rsid w:val="008C6341"/>
    <w:rsid w:val="008C6D47"/>
    <w:rsid w:val="008C73B3"/>
    <w:rsid w:val="008D11BF"/>
    <w:rsid w:val="008D1CF8"/>
    <w:rsid w:val="008D2120"/>
    <w:rsid w:val="008D2F15"/>
    <w:rsid w:val="008D2FD5"/>
    <w:rsid w:val="008D3D3E"/>
    <w:rsid w:val="008D6DDF"/>
    <w:rsid w:val="008E15F2"/>
    <w:rsid w:val="008F3381"/>
    <w:rsid w:val="008F4B3C"/>
    <w:rsid w:val="009011D0"/>
    <w:rsid w:val="009029D9"/>
    <w:rsid w:val="0090595E"/>
    <w:rsid w:val="009075B3"/>
    <w:rsid w:val="00907970"/>
    <w:rsid w:val="0091439E"/>
    <w:rsid w:val="00915A88"/>
    <w:rsid w:val="00915E73"/>
    <w:rsid w:val="009162EB"/>
    <w:rsid w:val="00916882"/>
    <w:rsid w:val="00920074"/>
    <w:rsid w:val="00921531"/>
    <w:rsid w:val="009318AA"/>
    <w:rsid w:val="009322C1"/>
    <w:rsid w:val="00933FFF"/>
    <w:rsid w:val="00935F03"/>
    <w:rsid w:val="00941F14"/>
    <w:rsid w:val="00945CA1"/>
    <w:rsid w:val="00945FE9"/>
    <w:rsid w:val="00947F9E"/>
    <w:rsid w:val="00950B2D"/>
    <w:rsid w:val="0095273C"/>
    <w:rsid w:val="00961313"/>
    <w:rsid w:val="0096397E"/>
    <w:rsid w:val="00970CAD"/>
    <w:rsid w:val="009743E2"/>
    <w:rsid w:val="009758C7"/>
    <w:rsid w:val="00976F92"/>
    <w:rsid w:val="00981489"/>
    <w:rsid w:val="00984173"/>
    <w:rsid w:val="00985115"/>
    <w:rsid w:val="00987347"/>
    <w:rsid w:val="009901A8"/>
    <w:rsid w:val="009909D7"/>
    <w:rsid w:val="0099363B"/>
    <w:rsid w:val="00995EB4"/>
    <w:rsid w:val="009A2332"/>
    <w:rsid w:val="009A249E"/>
    <w:rsid w:val="009A3D65"/>
    <w:rsid w:val="009A49B5"/>
    <w:rsid w:val="009A4E5F"/>
    <w:rsid w:val="009A4FD1"/>
    <w:rsid w:val="009A5A05"/>
    <w:rsid w:val="009A680F"/>
    <w:rsid w:val="009A6E13"/>
    <w:rsid w:val="009A7AB5"/>
    <w:rsid w:val="009B10D2"/>
    <w:rsid w:val="009B36A6"/>
    <w:rsid w:val="009B6971"/>
    <w:rsid w:val="009B6D45"/>
    <w:rsid w:val="009C0727"/>
    <w:rsid w:val="009C3633"/>
    <w:rsid w:val="009C44DA"/>
    <w:rsid w:val="009C63F3"/>
    <w:rsid w:val="009D12BC"/>
    <w:rsid w:val="009D19FE"/>
    <w:rsid w:val="009D1C0E"/>
    <w:rsid w:val="009D378F"/>
    <w:rsid w:val="009D75F9"/>
    <w:rsid w:val="009E028D"/>
    <w:rsid w:val="009E2674"/>
    <w:rsid w:val="009E4510"/>
    <w:rsid w:val="009E56A8"/>
    <w:rsid w:val="009E73F5"/>
    <w:rsid w:val="009F0330"/>
    <w:rsid w:val="009F0DCB"/>
    <w:rsid w:val="009F5225"/>
    <w:rsid w:val="00A04A43"/>
    <w:rsid w:val="00A0652F"/>
    <w:rsid w:val="00A11CC1"/>
    <w:rsid w:val="00A123A7"/>
    <w:rsid w:val="00A12F6B"/>
    <w:rsid w:val="00A15D03"/>
    <w:rsid w:val="00A166E7"/>
    <w:rsid w:val="00A1799E"/>
    <w:rsid w:val="00A234D6"/>
    <w:rsid w:val="00A25715"/>
    <w:rsid w:val="00A26841"/>
    <w:rsid w:val="00A268A8"/>
    <w:rsid w:val="00A27E47"/>
    <w:rsid w:val="00A32952"/>
    <w:rsid w:val="00A35A89"/>
    <w:rsid w:val="00A35CC9"/>
    <w:rsid w:val="00A3675C"/>
    <w:rsid w:val="00A42756"/>
    <w:rsid w:val="00A427CC"/>
    <w:rsid w:val="00A42C8D"/>
    <w:rsid w:val="00A45542"/>
    <w:rsid w:val="00A45F2E"/>
    <w:rsid w:val="00A512E8"/>
    <w:rsid w:val="00A52193"/>
    <w:rsid w:val="00A53FED"/>
    <w:rsid w:val="00A55614"/>
    <w:rsid w:val="00A63CF9"/>
    <w:rsid w:val="00A678EE"/>
    <w:rsid w:val="00A70AFF"/>
    <w:rsid w:val="00A725F7"/>
    <w:rsid w:val="00A72EDA"/>
    <w:rsid w:val="00A73B10"/>
    <w:rsid w:val="00A75891"/>
    <w:rsid w:val="00A775A7"/>
    <w:rsid w:val="00A80CEC"/>
    <w:rsid w:val="00A81930"/>
    <w:rsid w:val="00A81C46"/>
    <w:rsid w:val="00A863E7"/>
    <w:rsid w:val="00A90863"/>
    <w:rsid w:val="00A91BF9"/>
    <w:rsid w:val="00A970C6"/>
    <w:rsid w:val="00AA6004"/>
    <w:rsid w:val="00AB06CE"/>
    <w:rsid w:val="00AB3FB9"/>
    <w:rsid w:val="00AB505E"/>
    <w:rsid w:val="00AB62A1"/>
    <w:rsid w:val="00AB72DF"/>
    <w:rsid w:val="00AC5EF6"/>
    <w:rsid w:val="00AC6A18"/>
    <w:rsid w:val="00AD1528"/>
    <w:rsid w:val="00AD19B9"/>
    <w:rsid w:val="00AD4128"/>
    <w:rsid w:val="00AD4604"/>
    <w:rsid w:val="00AD689D"/>
    <w:rsid w:val="00AD77D9"/>
    <w:rsid w:val="00AE2BA0"/>
    <w:rsid w:val="00AE4885"/>
    <w:rsid w:val="00AE59C5"/>
    <w:rsid w:val="00AE5CD5"/>
    <w:rsid w:val="00AF21F6"/>
    <w:rsid w:val="00AF4B91"/>
    <w:rsid w:val="00AF6670"/>
    <w:rsid w:val="00AF7711"/>
    <w:rsid w:val="00B00EDE"/>
    <w:rsid w:val="00B03292"/>
    <w:rsid w:val="00B0354F"/>
    <w:rsid w:val="00B05427"/>
    <w:rsid w:val="00B05A60"/>
    <w:rsid w:val="00B06164"/>
    <w:rsid w:val="00B123AA"/>
    <w:rsid w:val="00B17797"/>
    <w:rsid w:val="00B20BEA"/>
    <w:rsid w:val="00B20CD2"/>
    <w:rsid w:val="00B22059"/>
    <w:rsid w:val="00B2381F"/>
    <w:rsid w:val="00B24420"/>
    <w:rsid w:val="00B27512"/>
    <w:rsid w:val="00B30B9F"/>
    <w:rsid w:val="00B32054"/>
    <w:rsid w:val="00B323F3"/>
    <w:rsid w:val="00B32D7D"/>
    <w:rsid w:val="00B33B2D"/>
    <w:rsid w:val="00B350C7"/>
    <w:rsid w:val="00B37C97"/>
    <w:rsid w:val="00B43CE6"/>
    <w:rsid w:val="00B4663F"/>
    <w:rsid w:val="00B477AF"/>
    <w:rsid w:val="00B47F22"/>
    <w:rsid w:val="00B47F79"/>
    <w:rsid w:val="00B53F58"/>
    <w:rsid w:val="00B54952"/>
    <w:rsid w:val="00B55CE3"/>
    <w:rsid w:val="00B55DDC"/>
    <w:rsid w:val="00B60B4A"/>
    <w:rsid w:val="00B60E34"/>
    <w:rsid w:val="00B63750"/>
    <w:rsid w:val="00B64992"/>
    <w:rsid w:val="00B67885"/>
    <w:rsid w:val="00B704E3"/>
    <w:rsid w:val="00B70B2C"/>
    <w:rsid w:val="00B70DF9"/>
    <w:rsid w:val="00B7109B"/>
    <w:rsid w:val="00B71CA4"/>
    <w:rsid w:val="00B7340F"/>
    <w:rsid w:val="00B760EB"/>
    <w:rsid w:val="00B76B8A"/>
    <w:rsid w:val="00B77C9A"/>
    <w:rsid w:val="00B80839"/>
    <w:rsid w:val="00B85367"/>
    <w:rsid w:val="00B85DBE"/>
    <w:rsid w:val="00B86689"/>
    <w:rsid w:val="00B9604B"/>
    <w:rsid w:val="00B962D2"/>
    <w:rsid w:val="00B9750B"/>
    <w:rsid w:val="00BA0D4A"/>
    <w:rsid w:val="00BA15A5"/>
    <w:rsid w:val="00BA236C"/>
    <w:rsid w:val="00BA6D45"/>
    <w:rsid w:val="00BA70B2"/>
    <w:rsid w:val="00BA7391"/>
    <w:rsid w:val="00BB43B7"/>
    <w:rsid w:val="00BB4E99"/>
    <w:rsid w:val="00BC121A"/>
    <w:rsid w:val="00BC2858"/>
    <w:rsid w:val="00BC40BC"/>
    <w:rsid w:val="00BC5B4B"/>
    <w:rsid w:val="00BC5D70"/>
    <w:rsid w:val="00BD161C"/>
    <w:rsid w:val="00BD295F"/>
    <w:rsid w:val="00BD50F0"/>
    <w:rsid w:val="00BD5311"/>
    <w:rsid w:val="00BD68F6"/>
    <w:rsid w:val="00BE16E0"/>
    <w:rsid w:val="00BE25B1"/>
    <w:rsid w:val="00BE25F2"/>
    <w:rsid w:val="00BE45C6"/>
    <w:rsid w:val="00BF1171"/>
    <w:rsid w:val="00BF2947"/>
    <w:rsid w:val="00C0137D"/>
    <w:rsid w:val="00C01937"/>
    <w:rsid w:val="00C01BBF"/>
    <w:rsid w:val="00C023BC"/>
    <w:rsid w:val="00C03013"/>
    <w:rsid w:val="00C06EA0"/>
    <w:rsid w:val="00C06EA8"/>
    <w:rsid w:val="00C12AB7"/>
    <w:rsid w:val="00C13ED1"/>
    <w:rsid w:val="00C1443C"/>
    <w:rsid w:val="00C2016F"/>
    <w:rsid w:val="00C23F03"/>
    <w:rsid w:val="00C24836"/>
    <w:rsid w:val="00C255A3"/>
    <w:rsid w:val="00C317BA"/>
    <w:rsid w:val="00C322EE"/>
    <w:rsid w:val="00C329AD"/>
    <w:rsid w:val="00C33AFC"/>
    <w:rsid w:val="00C3544B"/>
    <w:rsid w:val="00C4508C"/>
    <w:rsid w:val="00C45962"/>
    <w:rsid w:val="00C50496"/>
    <w:rsid w:val="00C52DBA"/>
    <w:rsid w:val="00C54DCB"/>
    <w:rsid w:val="00C55D9F"/>
    <w:rsid w:val="00C565C0"/>
    <w:rsid w:val="00C575BB"/>
    <w:rsid w:val="00C6408B"/>
    <w:rsid w:val="00C64CA9"/>
    <w:rsid w:val="00C707E3"/>
    <w:rsid w:val="00C73A98"/>
    <w:rsid w:val="00C75372"/>
    <w:rsid w:val="00C77567"/>
    <w:rsid w:val="00C926C7"/>
    <w:rsid w:val="00C93E3C"/>
    <w:rsid w:val="00C95DE2"/>
    <w:rsid w:val="00CA0C13"/>
    <w:rsid w:val="00CA0F41"/>
    <w:rsid w:val="00CA1E6D"/>
    <w:rsid w:val="00CA1EC3"/>
    <w:rsid w:val="00CA3508"/>
    <w:rsid w:val="00CA57CE"/>
    <w:rsid w:val="00CA75D0"/>
    <w:rsid w:val="00CB47C5"/>
    <w:rsid w:val="00CC0741"/>
    <w:rsid w:val="00CC0845"/>
    <w:rsid w:val="00CC2C5A"/>
    <w:rsid w:val="00CC48B3"/>
    <w:rsid w:val="00CC4D9C"/>
    <w:rsid w:val="00CC7861"/>
    <w:rsid w:val="00CD1A6B"/>
    <w:rsid w:val="00CD3CC9"/>
    <w:rsid w:val="00CD5B4F"/>
    <w:rsid w:val="00CD60B9"/>
    <w:rsid w:val="00CD74F6"/>
    <w:rsid w:val="00CD798F"/>
    <w:rsid w:val="00CD7A77"/>
    <w:rsid w:val="00CE0B68"/>
    <w:rsid w:val="00CE221B"/>
    <w:rsid w:val="00CE2669"/>
    <w:rsid w:val="00CE45E6"/>
    <w:rsid w:val="00CE4ACD"/>
    <w:rsid w:val="00CE7256"/>
    <w:rsid w:val="00CE7E5C"/>
    <w:rsid w:val="00CF1757"/>
    <w:rsid w:val="00CF1D48"/>
    <w:rsid w:val="00CF4304"/>
    <w:rsid w:val="00CF4410"/>
    <w:rsid w:val="00CF4C10"/>
    <w:rsid w:val="00D0084C"/>
    <w:rsid w:val="00D0096E"/>
    <w:rsid w:val="00D00DB8"/>
    <w:rsid w:val="00D05E19"/>
    <w:rsid w:val="00D0705C"/>
    <w:rsid w:val="00D07437"/>
    <w:rsid w:val="00D1039F"/>
    <w:rsid w:val="00D11CB9"/>
    <w:rsid w:val="00D13E91"/>
    <w:rsid w:val="00D148FD"/>
    <w:rsid w:val="00D16D3E"/>
    <w:rsid w:val="00D20727"/>
    <w:rsid w:val="00D21F52"/>
    <w:rsid w:val="00D223F5"/>
    <w:rsid w:val="00D2252F"/>
    <w:rsid w:val="00D2354F"/>
    <w:rsid w:val="00D252AB"/>
    <w:rsid w:val="00D25E29"/>
    <w:rsid w:val="00D270B6"/>
    <w:rsid w:val="00D27896"/>
    <w:rsid w:val="00D321DE"/>
    <w:rsid w:val="00D33145"/>
    <w:rsid w:val="00D3531A"/>
    <w:rsid w:val="00D35607"/>
    <w:rsid w:val="00D45C83"/>
    <w:rsid w:val="00D46513"/>
    <w:rsid w:val="00D47116"/>
    <w:rsid w:val="00D472B5"/>
    <w:rsid w:val="00D47883"/>
    <w:rsid w:val="00D479C9"/>
    <w:rsid w:val="00D47BA5"/>
    <w:rsid w:val="00D51CAB"/>
    <w:rsid w:val="00D5237A"/>
    <w:rsid w:val="00D55A9A"/>
    <w:rsid w:val="00D567A4"/>
    <w:rsid w:val="00D57DFE"/>
    <w:rsid w:val="00D608EC"/>
    <w:rsid w:val="00D62044"/>
    <w:rsid w:val="00D64C27"/>
    <w:rsid w:val="00D71260"/>
    <w:rsid w:val="00D722A3"/>
    <w:rsid w:val="00D72A81"/>
    <w:rsid w:val="00D758A1"/>
    <w:rsid w:val="00D75980"/>
    <w:rsid w:val="00D77BE1"/>
    <w:rsid w:val="00D80564"/>
    <w:rsid w:val="00D85E44"/>
    <w:rsid w:val="00D87ADF"/>
    <w:rsid w:val="00D90FA1"/>
    <w:rsid w:val="00D9262F"/>
    <w:rsid w:val="00D938CF"/>
    <w:rsid w:val="00D95372"/>
    <w:rsid w:val="00DA6D4C"/>
    <w:rsid w:val="00DC51AC"/>
    <w:rsid w:val="00DC54C1"/>
    <w:rsid w:val="00DC5549"/>
    <w:rsid w:val="00DC56C2"/>
    <w:rsid w:val="00DC6D02"/>
    <w:rsid w:val="00DC7624"/>
    <w:rsid w:val="00DD1743"/>
    <w:rsid w:val="00DD22C0"/>
    <w:rsid w:val="00DD48B4"/>
    <w:rsid w:val="00DD4A10"/>
    <w:rsid w:val="00DD5187"/>
    <w:rsid w:val="00DD73F7"/>
    <w:rsid w:val="00DE2F07"/>
    <w:rsid w:val="00DE32BD"/>
    <w:rsid w:val="00DE367B"/>
    <w:rsid w:val="00DE46D0"/>
    <w:rsid w:val="00DE476A"/>
    <w:rsid w:val="00DE544E"/>
    <w:rsid w:val="00DF128F"/>
    <w:rsid w:val="00DF1ADD"/>
    <w:rsid w:val="00DF2E29"/>
    <w:rsid w:val="00DF3376"/>
    <w:rsid w:val="00DF6F73"/>
    <w:rsid w:val="00DF7D9D"/>
    <w:rsid w:val="00E00089"/>
    <w:rsid w:val="00E00AAA"/>
    <w:rsid w:val="00E034DB"/>
    <w:rsid w:val="00E04270"/>
    <w:rsid w:val="00E072B2"/>
    <w:rsid w:val="00E116FB"/>
    <w:rsid w:val="00E125DF"/>
    <w:rsid w:val="00E1383F"/>
    <w:rsid w:val="00E20789"/>
    <w:rsid w:val="00E208DA"/>
    <w:rsid w:val="00E226E7"/>
    <w:rsid w:val="00E2337F"/>
    <w:rsid w:val="00E256B5"/>
    <w:rsid w:val="00E25A9C"/>
    <w:rsid w:val="00E266F6"/>
    <w:rsid w:val="00E26D4A"/>
    <w:rsid w:val="00E26F27"/>
    <w:rsid w:val="00E326AB"/>
    <w:rsid w:val="00E32E04"/>
    <w:rsid w:val="00E3482C"/>
    <w:rsid w:val="00E34CC0"/>
    <w:rsid w:val="00E35C01"/>
    <w:rsid w:val="00E35F7C"/>
    <w:rsid w:val="00E407E5"/>
    <w:rsid w:val="00E44964"/>
    <w:rsid w:val="00E4604C"/>
    <w:rsid w:val="00E46F56"/>
    <w:rsid w:val="00E47258"/>
    <w:rsid w:val="00E47363"/>
    <w:rsid w:val="00E51ADA"/>
    <w:rsid w:val="00E53201"/>
    <w:rsid w:val="00E5321B"/>
    <w:rsid w:val="00E53BF0"/>
    <w:rsid w:val="00E55192"/>
    <w:rsid w:val="00E55F9D"/>
    <w:rsid w:val="00E62E94"/>
    <w:rsid w:val="00E63499"/>
    <w:rsid w:val="00E6597B"/>
    <w:rsid w:val="00E739D3"/>
    <w:rsid w:val="00E74EB5"/>
    <w:rsid w:val="00E7573B"/>
    <w:rsid w:val="00E758D4"/>
    <w:rsid w:val="00E77704"/>
    <w:rsid w:val="00E80341"/>
    <w:rsid w:val="00E80830"/>
    <w:rsid w:val="00E80BCE"/>
    <w:rsid w:val="00E83360"/>
    <w:rsid w:val="00E850BC"/>
    <w:rsid w:val="00E87C3A"/>
    <w:rsid w:val="00E9414C"/>
    <w:rsid w:val="00E9709D"/>
    <w:rsid w:val="00EA0194"/>
    <w:rsid w:val="00EA2B07"/>
    <w:rsid w:val="00EA5C6E"/>
    <w:rsid w:val="00EA65E1"/>
    <w:rsid w:val="00EB07F0"/>
    <w:rsid w:val="00EB3725"/>
    <w:rsid w:val="00EB4283"/>
    <w:rsid w:val="00EB6CAF"/>
    <w:rsid w:val="00EB7E8B"/>
    <w:rsid w:val="00EC07FA"/>
    <w:rsid w:val="00ED055F"/>
    <w:rsid w:val="00ED0674"/>
    <w:rsid w:val="00ED0C22"/>
    <w:rsid w:val="00ED18D3"/>
    <w:rsid w:val="00ED2327"/>
    <w:rsid w:val="00ED24CD"/>
    <w:rsid w:val="00ED2C84"/>
    <w:rsid w:val="00ED424C"/>
    <w:rsid w:val="00ED48ED"/>
    <w:rsid w:val="00ED4BAE"/>
    <w:rsid w:val="00ED75C3"/>
    <w:rsid w:val="00ED7B9D"/>
    <w:rsid w:val="00EE0A20"/>
    <w:rsid w:val="00EE0AEE"/>
    <w:rsid w:val="00EE1787"/>
    <w:rsid w:val="00EE1F20"/>
    <w:rsid w:val="00EE5199"/>
    <w:rsid w:val="00EE73C6"/>
    <w:rsid w:val="00EF01EC"/>
    <w:rsid w:val="00EF568C"/>
    <w:rsid w:val="00EF6A1E"/>
    <w:rsid w:val="00EF7609"/>
    <w:rsid w:val="00F02E31"/>
    <w:rsid w:val="00F03306"/>
    <w:rsid w:val="00F05352"/>
    <w:rsid w:val="00F05DD7"/>
    <w:rsid w:val="00F1038D"/>
    <w:rsid w:val="00F1178E"/>
    <w:rsid w:val="00F1376C"/>
    <w:rsid w:val="00F14359"/>
    <w:rsid w:val="00F1443F"/>
    <w:rsid w:val="00F1456B"/>
    <w:rsid w:val="00F2481D"/>
    <w:rsid w:val="00F24E3D"/>
    <w:rsid w:val="00F26B48"/>
    <w:rsid w:val="00F26F63"/>
    <w:rsid w:val="00F30D24"/>
    <w:rsid w:val="00F31629"/>
    <w:rsid w:val="00F3467D"/>
    <w:rsid w:val="00F35CF3"/>
    <w:rsid w:val="00F4090B"/>
    <w:rsid w:val="00F458D8"/>
    <w:rsid w:val="00F45C14"/>
    <w:rsid w:val="00F477D9"/>
    <w:rsid w:val="00F5017F"/>
    <w:rsid w:val="00F62084"/>
    <w:rsid w:val="00F6541F"/>
    <w:rsid w:val="00F655D1"/>
    <w:rsid w:val="00F67B46"/>
    <w:rsid w:val="00F70BD0"/>
    <w:rsid w:val="00F771DE"/>
    <w:rsid w:val="00F77FEF"/>
    <w:rsid w:val="00F80D3A"/>
    <w:rsid w:val="00F84C9B"/>
    <w:rsid w:val="00F922A5"/>
    <w:rsid w:val="00F922EB"/>
    <w:rsid w:val="00F92C50"/>
    <w:rsid w:val="00F9303D"/>
    <w:rsid w:val="00F93057"/>
    <w:rsid w:val="00F93DF4"/>
    <w:rsid w:val="00F94FDA"/>
    <w:rsid w:val="00F9583B"/>
    <w:rsid w:val="00FA1D26"/>
    <w:rsid w:val="00FA2E9E"/>
    <w:rsid w:val="00FA4AD8"/>
    <w:rsid w:val="00FA4EF7"/>
    <w:rsid w:val="00FB0311"/>
    <w:rsid w:val="00FB18CF"/>
    <w:rsid w:val="00FB2B22"/>
    <w:rsid w:val="00FB563A"/>
    <w:rsid w:val="00FB61FE"/>
    <w:rsid w:val="00FC06A2"/>
    <w:rsid w:val="00FC4240"/>
    <w:rsid w:val="00FD0136"/>
    <w:rsid w:val="00FD16CB"/>
    <w:rsid w:val="00FD4B01"/>
    <w:rsid w:val="00FE003B"/>
    <w:rsid w:val="00FE1E85"/>
    <w:rsid w:val="00FE61EC"/>
    <w:rsid w:val="00FE66AC"/>
    <w:rsid w:val="00FE7262"/>
    <w:rsid w:val="00FF19E3"/>
    <w:rsid w:val="00FF64F3"/>
    <w:rsid w:val="00FF7411"/>
    <w:rsid w:val="00FF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5823AED2"/>
  <w15:chartTrackingRefBased/>
  <w15:docId w15:val="{AC6D4FA4-CFEC-4401-BBF0-2296BC7B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53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A1F26"/>
    <w:pPr>
      <w:keepNext/>
      <w:outlineLvl w:val="0"/>
    </w:pPr>
    <w:rPr>
      <w:rFonts w:eastAsia="Arial Unicode MS"/>
      <w:szCs w:val="20"/>
    </w:rPr>
  </w:style>
  <w:style w:type="paragraph" w:styleId="5">
    <w:name w:val="heading 5"/>
    <w:basedOn w:val="a"/>
    <w:next w:val="a"/>
    <w:link w:val="50"/>
    <w:qFormat/>
    <w:rsid w:val="005A1F26"/>
    <w:pPr>
      <w:keepNext/>
      <w:ind w:firstLine="708"/>
      <w:jc w:val="both"/>
      <w:outlineLvl w:val="4"/>
    </w:pPr>
    <w:rPr>
      <w:rFonts w:eastAsia="Arial Unicode MS"/>
      <w:bCs/>
      <w:sz w:val="28"/>
      <w:szCs w:val="20"/>
    </w:rPr>
  </w:style>
  <w:style w:type="paragraph" w:styleId="8">
    <w:name w:val="heading 8"/>
    <w:basedOn w:val="a"/>
    <w:next w:val="a"/>
    <w:link w:val="80"/>
    <w:qFormat/>
    <w:rsid w:val="005A1F26"/>
    <w:pPr>
      <w:keepNext/>
      <w:ind w:firstLine="720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4538"/>
    <w:pPr>
      <w:ind w:firstLine="709"/>
      <w:jc w:val="both"/>
    </w:pPr>
    <w:rPr>
      <w:color w:val="000000"/>
      <w:sz w:val="28"/>
      <w:szCs w:val="28"/>
    </w:rPr>
  </w:style>
  <w:style w:type="character" w:customStyle="1" w:styleId="a4">
    <w:name w:val="Основной текст с отступом Знак"/>
    <w:link w:val="a3"/>
    <w:rsid w:val="001C453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0B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30B9F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uiPriority w:val="59"/>
    <w:rsid w:val="00393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F2E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DF2E29"/>
    <w:rPr>
      <w:rFonts w:ascii="Times New Roman" w:eastAsia="Times New Roman" w:hAnsi="Times New Roman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B22059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rsid w:val="00B22059"/>
    <w:rPr>
      <w:rFonts w:ascii="Times New Roman" w:eastAsia="Times New Roman" w:hAnsi="Times New Roman"/>
      <w:sz w:val="24"/>
      <w:szCs w:val="24"/>
    </w:rPr>
  </w:style>
  <w:style w:type="paragraph" w:styleId="aa">
    <w:name w:val="No Spacing"/>
    <w:uiPriority w:val="1"/>
    <w:qFormat/>
    <w:rsid w:val="009B36A6"/>
    <w:rPr>
      <w:sz w:val="22"/>
      <w:szCs w:val="22"/>
      <w:lang w:eastAsia="en-US"/>
    </w:rPr>
  </w:style>
  <w:style w:type="character" w:customStyle="1" w:styleId="10">
    <w:name w:val="Заголовок 1 Знак"/>
    <w:link w:val="1"/>
    <w:rsid w:val="005A1F26"/>
    <w:rPr>
      <w:rFonts w:ascii="Times New Roman" w:eastAsia="Arial Unicode MS" w:hAnsi="Times New Roman"/>
      <w:sz w:val="24"/>
    </w:rPr>
  </w:style>
  <w:style w:type="character" w:customStyle="1" w:styleId="50">
    <w:name w:val="Заголовок 5 Знак"/>
    <w:link w:val="5"/>
    <w:rsid w:val="005A1F26"/>
    <w:rPr>
      <w:rFonts w:ascii="Times New Roman" w:eastAsia="Arial Unicode MS" w:hAnsi="Times New Roman"/>
      <w:bCs/>
      <w:sz w:val="28"/>
    </w:rPr>
  </w:style>
  <w:style w:type="character" w:customStyle="1" w:styleId="80">
    <w:name w:val="Заголовок 8 Знак"/>
    <w:link w:val="8"/>
    <w:rsid w:val="005A1F26"/>
    <w:rPr>
      <w:rFonts w:ascii="Times New Roman" w:eastAsia="Times New Roman" w:hAnsi="Times New Roman"/>
      <w:sz w:val="28"/>
    </w:rPr>
  </w:style>
  <w:style w:type="paragraph" w:styleId="ab">
    <w:name w:val="Normal (Web)"/>
    <w:basedOn w:val="a"/>
    <w:uiPriority w:val="99"/>
    <w:semiHidden/>
    <w:unhideWhenUsed/>
    <w:rsid w:val="00245E52"/>
    <w:pPr>
      <w:spacing w:before="100" w:beforeAutospacing="1" w:after="100" w:afterAutospacing="1"/>
    </w:pPr>
  </w:style>
  <w:style w:type="paragraph" w:styleId="ac">
    <w:name w:val="footnote text"/>
    <w:basedOn w:val="a"/>
    <w:link w:val="ad"/>
    <w:uiPriority w:val="99"/>
    <w:semiHidden/>
    <w:unhideWhenUsed/>
    <w:rsid w:val="003A34F0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rsid w:val="003A34F0"/>
    <w:rPr>
      <w:rFonts w:ascii="Times New Roman" w:eastAsia="Times New Roman" w:hAnsi="Times New Roman"/>
    </w:rPr>
  </w:style>
  <w:style w:type="character" w:styleId="ae">
    <w:name w:val="footnote reference"/>
    <w:uiPriority w:val="99"/>
    <w:semiHidden/>
    <w:unhideWhenUsed/>
    <w:rsid w:val="003A34F0"/>
    <w:rPr>
      <w:vertAlign w:val="superscript"/>
    </w:rPr>
  </w:style>
  <w:style w:type="paragraph" w:customStyle="1" w:styleId="ConsPlusNormal">
    <w:name w:val="ConsPlusNormal"/>
    <w:rsid w:val="003020B3"/>
    <w:pPr>
      <w:widowControl w:val="0"/>
    </w:pPr>
    <w:rPr>
      <w:rFonts w:ascii="Times New Roman" w:eastAsia="Times New Roman" w:hAnsi="Times New Roman"/>
      <w:sz w:val="22"/>
    </w:rPr>
  </w:style>
  <w:style w:type="character" w:styleId="af">
    <w:name w:val="Hyperlink"/>
    <w:uiPriority w:val="99"/>
    <w:unhideWhenUsed/>
    <w:rsid w:val="003020B3"/>
    <w:rPr>
      <w:color w:val="0563C1"/>
      <w:u w:val="single"/>
    </w:rPr>
  </w:style>
  <w:style w:type="paragraph" w:styleId="af0">
    <w:name w:val="header"/>
    <w:basedOn w:val="a"/>
    <w:link w:val="af1"/>
    <w:uiPriority w:val="99"/>
    <w:unhideWhenUsed/>
    <w:rsid w:val="00A7589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A75891"/>
    <w:rPr>
      <w:rFonts w:ascii="Times New Roman" w:eastAsia="Times New Roman" w:hAnsi="Times New Roman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A75891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A75891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A75891"/>
    <w:pPr>
      <w:widowControl w:val="0"/>
      <w:autoSpaceDE w:val="0"/>
      <w:autoSpaceDN w:val="0"/>
    </w:pPr>
    <w:rPr>
      <w:rFonts w:ascii="Arial" w:eastAsia="Times New Roman" w:hAnsi="Arial" w:cs="Arial"/>
      <w:b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62908-71AE-4018-861E-B829129CE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2325</Words>
  <Characters>13255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15549</CharactersWithSpaces>
  <SharedDoc>false</SharedDoc>
  <HLinks>
    <vt:vector size="6" baseType="variant">
      <vt:variant>
        <vt:i4>7077974</vt:i4>
      </vt:variant>
      <vt:variant>
        <vt:i4>0</vt:i4>
      </vt:variant>
      <vt:variant>
        <vt:i4>0</vt:i4>
      </vt:variant>
      <vt:variant>
        <vt:i4>5</vt:i4>
      </vt:variant>
      <vt:variant>
        <vt:lpwstr>mailto:mku-umto@n-vartovsk.ru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Балдина СВ</dc:creator>
  <cp:keywords/>
  <cp:lastModifiedBy>Глазырина Анна Александровна</cp:lastModifiedBy>
  <cp:revision>3</cp:revision>
  <cp:lastPrinted>2024-10-08T11:53:00Z</cp:lastPrinted>
  <dcterms:created xsi:type="dcterms:W3CDTF">2026-10-20T05:10:00Z</dcterms:created>
  <dcterms:modified xsi:type="dcterms:W3CDTF">2026-10-20T05:11:00Z</dcterms:modified>
</cp:coreProperties>
</file>