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АДМИНИСТРАЦИИ ГОРОДА НИЖНЕВАРТОВСКА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1216"/>
        <w:tblW w:w="0" w:type="auto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>
        <w:tblPrEx/>
        <w:trPr/>
        <w:tc>
          <w:tcPr>
            <w:tcBorders>
              <w:right w:val="single" w:color="538135" w:themeColor="accent6" w:themeShade="BF" w:sz="24" w:space="0"/>
            </w:tcBorders>
            <w:tcW w:w="47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800000" cy="1800000"/>
                      <wp:effectExtent l="0" t="0" r="0" b="0"/>
                      <wp:docPr id="1" name="Рисунок 1" descr="https://yt3.ggpht.com/a/AATXAJxX4RfsAMm6dBQck3KadZv9e5zmWh35p9uJiUFv0g=s900-c-k-c0x00ffffff-no-rj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30712673" name="Picture 3" descr="https://yt3.ggpht.com/a/AATXAJxX4RfsAMm6dBQck3KadZv9e5zmWh35p9uJiUFv0g=s900-c-k-c0x00ffffff-no-rj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00000" cy="180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41.73pt;height:141.73pt;mso-wrap-distance-left:0.00pt;mso-wrap-distance-top:0.00pt;mso-wrap-distance-right:0.00pt;mso-wrap-distance-bottom:0.00pt;" stroked="f">
                      <v:path textboxrect="0,0,0,0"/>
                      <v:imagedata r:id="rId11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left w:val="single" w:color="538135" w:themeColor="accent6" w:themeShade="BF" w:sz="24" w:space="0"/>
            </w:tcBorders>
            <w:tcW w:w="478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ИТОГОВЫЙ ОТЧЕТ</w: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 РЕЗУЛЬТАТАХ АНАЛИЗА СОСТОЯНИЯ И ПЕРСПЕКТИВ РАЗВИТИЯ СИСТЕМЫ ОБРАЗОВАНИЯ ЗА 2025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  <w:r>
              <w:rPr>
                <w:rFonts w:ascii="Times New Roman" w:hAnsi="Times New Roman" w:cs="Times New Roman"/>
                <w:sz w:val="28"/>
                <w:szCs w:val="24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shd w:val="nil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  <w:br w:type="page" w:clear="all"/>
      </w: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ИТОГОВЫЙ ОТЧЕТ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департамента образования, департамента по социальной политике администрации города Нижневартовска о результатах анализа состояния и перспектив развития системы образования за 2025 год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Раздел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I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1. Вводная часть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1.1. Общая социально-экономическая характеристика муниципального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 образования (субъекта Российской Федерации), на территории которого проводился анализ состояния и перспектив развития системы образования: расположение, численность населения, демографическая ситуация (возрастная структура, динамика численности населения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br/>
        <w:t xml:space="preserve">по возрастам), занятость населения (структура занятости, уровень безработицы, структура безработицы по возрастам).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1.2. Контактная информация органов местного самоуправления, осуществляющих управление в сфере образования.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1.3. Информация о программах и проектах в сфере образования.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t xml:space="preserve">1.4. Краткая информация о проведении анализа состояния и перспектив развития системы образования (данные, на основании которых проводился анализ, данные 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  <w:br/>
        <w:t xml:space="preserve">об использовании дополнительных показателей  – результаты опросов, анализ документов).</w:t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i/>
          <w:sz w:val="24"/>
          <w:szCs w:val="24"/>
          <w:lang w:eastAsia="ru-RU"/>
        </w:rPr>
      </w:r>
    </w:p>
    <w:p>
      <w:pPr>
        <w:contextualSpacing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ru-RU"/>
        </w:rPr>
        <w:t xml:space="preserve">1.1. Общая социально-экономическая характеристика муниципального образования</w:t>
      </w:r>
      <w:r>
        <w:rPr>
          <w:rFonts w:ascii="Times New Roman" w:hAnsi="Times New Roman" w:eastAsia="Times New Roman" w:cs="Times New Roman"/>
          <w:b/>
          <w:color w:val="000000" w:themeColor="text1"/>
          <w:sz w:val="24"/>
          <w:szCs w:val="24"/>
          <w:highlight w:val="white"/>
          <w:vertAlign w:val="superscript"/>
          <w:lang w:eastAsia="ru-RU"/>
        </w:rPr>
        <w:footnoteReference w:id="2"/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  <w:t xml:space="preserve">Город Нижневартовск расположен в Ханты-Мансийском автономном округе – Югре на правом берегу реки Обь в 1 015 км от города Тюмени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  <w:br/>
        <w:t xml:space="preserve">и 533 км от города Ханты-Мансийска, административного центра Ханты-Мансийского автономного округа – Югры.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Площадь города составляет 271,31 кв. км</w:t>
      </w:r>
      <w:r>
        <w:rPr>
          <w:rStyle w:val="1186"/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footnoteReference w:id="3"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Нижне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вартовск – второй по численности город Ханты-Мансийского автономного округа – Югры, один из немногих российских региональных городов, превосходящих административный центр своего субъекта Российской Федерации (город Ханты-Мансийск) по численности населения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и по промышленному потенциалу.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По результатам мониторинга качества жизни в России, проводимого Финансовым университетом при Правительстве Российской Федерации, Нижневартовск по итогам 2025 года вошел в топ-25 городов с достаточно высоким качеством жизни.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color w:val="ff0000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2025 году Нижневартовск занял четвертую позицию ТОП-10 категории</w:t>
      </w:r>
      <w:r>
        <w:rPr>
          <w:rFonts w:ascii="Times New Roman" w:hAnsi="Times New Roman" w:cs="Times New Roman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Крупные города» индекса цифровой трансформации городского хозяйства «IQ городов» по итогам предыдущег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 года, формируемого Минстроем России и Минцифры России на основе индекса цифровизации городского хозяйства, позволяющего оценить уровень внедрения цифровых технологий в различных сфер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ах городского хозяйства и эффективность управления в российских городах.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Город по-прежнему входит в число лидеров ежегодного рейтинга муниципальных образований Ханты-Мансийского автономного округа - Югры по обеспечению условий благоприятного инвестиционного климата и содействию развитию конкуренции.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ind w:firstLine="720"/>
        <w:jc w:val="both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Нижневартовск - второй по численности город Ханты-Мансийского автономного округа - Югры, входит в число крупных городов России.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right"/>
        <w:spacing w:after="0" w:line="240" w:lineRule="auto"/>
        <w:widowControl w:val="off"/>
        <w:rPr>
          <w:rFonts w:ascii="Times New Roman" w:hAnsi="Times New Roman" w:eastAsia="Calibri" w:cs="Times New Roman"/>
          <w:color w:val="000000" w:themeColor="text1"/>
          <w:highlight w:val="none"/>
        </w:rPr>
      </w:pPr>
      <w:r>
        <w:rPr>
          <w:rFonts w:ascii="Times New Roman" w:hAnsi="Times New Roman" w:eastAsia="Calibri" w:cs="Times New Roman"/>
          <w:color w:val="000000" w:themeColor="text1"/>
          <w:highlight w:val="none"/>
        </w:rPr>
        <w:t xml:space="preserve">Таблица</w:t>
      </w:r>
      <w:r>
        <w:rPr>
          <w:rFonts w:ascii="Times New Roman" w:hAnsi="Times New Roman" w:eastAsia="Calibri" w:cs="Times New Roman"/>
          <w:color w:val="000000" w:themeColor="text1"/>
          <w:highlight w:val="none"/>
        </w:rPr>
        <w:t xml:space="preserve"> 1</w:t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auto"/>
          <w:sz w:val="28"/>
          <w:szCs w:val="28"/>
          <w:highlight w:val="none"/>
        </w:rPr>
      </w:pPr>
      <w:r>
        <w:rPr>
          <w:rFonts w:ascii="Times New Roman" w:hAnsi="Times New Roman" w:eastAsia="Calibri" w:cs="Times New Roman"/>
          <w:b/>
          <w:color w:val="auto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/>
          <w:color w:val="auto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b/>
          <w:color w:val="auto"/>
          <w:sz w:val="28"/>
          <w:szCs w:val="28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auto"/>
          <w:highlight w:val="none"/>
        </w:rPr>
      </w:pPr>
      <w:r>
        <w:rPr>
          <w:rFonts w:ascii="Times New Roman" w:hAnsi="Times New Roman" w:eastAsia="Calibri" w:cs="Times New Roman"/>
          <w:b/>
          <w:color w:val="auto"/>
          <w:highlight w:val="none"/>
        </w:rPr>
        <w:t xml:space="preserve">Динамика численности постоянного населения</w:t>
      </w:r>
      <w:r>
        <w:rPr>
          <w:rFonts w:ascii="Times New Roman" w:hAnsi="Times New Roman" w:eastAsia="Calibri" w:cs="Times New Roman"/>
          <w:b/>
          <w:color w:val="auto"/>
          <w:highlight w:val="none"/>
        </w:rPr>
      </w:r>
      <w:r>
        <w:rPr>
          <w:rFonts w:ascii="Times New Roman" w:hAnsi="Times New Roman" w:eastAsia="Calibri" w:cs="Times New Roman"/>
          <w:b/>
          <w:color w:val="auto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auto"/>
          <w:highlight w:val="none"/>
        </w:rPr>
      </w:pPr>
      <w:r>
        <w:rPr>
          <w:rFonts w:ascii="Times New Roman" w:hAnsi="Times New Roman" w:eastAsia="Calibri" w:cs="Times New Roman"/>
          <w:b/>
          <w:color w:val="auto"/>
          <w:highlight w:val="none"/>
        </w:rPr>
      </w:r>
      <w:r>
        <w:rPr>
          <w:rFonts w:ascii="Times New Roman" w:hAnsi="Times New Roman" w:eastAsia="Calibri" w:cs="Times New Roman"/>
          <w:b/>
          <w:color w:val="auto"/>
          <w:highlight w:val="none"/>
        </w:rPr>
      </w:r>
      <w:r>
        <w:rPr>
          <w:rFonts w:ascii="Times New Roman" w:hAnsi="Times New Roman" w:eastAsia="Calibri" w:cs="Times New Roman"/>
          <w:b/>
          <w:color w:val="auto"/>
          <w:highlight w:val="none"/>
        </w:rPr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3401"/>
        <w:gridCol w:w="850"/>
        <w:gridCol w:w="850"/>
        <w:gridCol w:w="850"/>
        <w:gridCol w:w="850"/>
        <w:gridCol w:w="850"/>
        <w:gridCol w:w="850"/>
        <w:gridCol w:w="850"/>
      </w:tblGrid>
      <w:tr>
        <w:tblPrEx/>
        <w:trPr>
          <w:trHeight w:val="567"/>
        </w:trPr>
        <w:tc>
          <w:tcPr>
            <w:shd w:val="clear" w:color="auto" w:fill="auto"/>
            <w:tcW w:w="34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Наименование показателя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2019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2020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2021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2022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2023 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  <w:lang w:eastAsia="ar-SA"/>
              </w:rPr>
              <w:t xml:space="preserve">2024 год</w:t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b/>
                <w:bCs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auto"/>
                <w:highlight w:val="none"/>
                <w:lang w:eastAsia="ar-SA"/>
              </w:rPr>
              <w:t xml:space="preserve">2025 год</w:t>
            </w:r>
            <w:r>
              <w:rPr>
                <w:rFonts w:ascii="Times New Roman" w:hAnsi="Times New Roman" w:eastAsia="SimSun" w:cs="Times New Roman"/>
                <w:b/>
                <w:bCs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b/>
                <w:bCs/>
                <w:color w:val="auto"/>
                <w:highlight w:val="none"/>
              </w:rPr>
            </w:r>
          </w:p>
        </w:tc>
      </w:tr>
      <w:tr>
        <w:tblPrEx/>
        <w:trPr>
          <w:trHeight w:val="567"/>
        </w:trPr>
        <w:tc>
          <w:tcPr>
            <w:shd w:val="clear" w:color="auto" w:fill="auto"/>
            <w:tcW w:w="340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Численность постоянного населения (среднегодовая) (тыс. человек)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277,1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shd w:val="clear" w:color="auto" w:fill="auto"/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278,1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279,8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285,2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288,8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291,8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auto"/>
                <w:highlight w:val="none"/>
              </w:rPr>
            </w:pPr>
            <w:r>
              <w:rPr>
                <w:rFonts w:ascii="Times New Roman" w:hAnsi="Times New Roman" w:eastAsia="SimSun" w:cs="Times New Roman"/>
                <w:color w:val="auto"/>
                <w:highlight w:val="none"/>
                <w:lang w:eastAsia="ar-SA"/>
              </w:rPr>
              <w:t xml:space="preserve">293,1</w:t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  <w:r>
              <w:rPr>
                <w:rFonts w:ascii="Times New Roman" w:hAnsi="Times New Roman" w:eastAsia="SimSun" w:cs="Times New Roman"/>
                <w:color w:val="auto"/>
                <w:highlight w:val="none"/>
              </w:rPr>
            </w:r>
          </w:p>
        </w:tc>
      </w:tr>
    </w:tbl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возрастной структуре основной удельный вес занимает население </w:t>
        <w:br/>
        <w:t xml:space="preserve">в трудоспособном возрасте - 62,7%, моложе - 20,4%. Население старше трудоспособного возраста составляет 17%. К молодежи в возрасте от 16 до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35 лет относится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каждый четвертый житель города.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Численность занятых в экономике города по итогам 2025 года составила 128,9 тыс. человек, из них более 50% сосредоточено на крупных и средних предприятиях.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Численность безработных, зарегистрированных в центре занятости населения, составила 194 человека. Уровень зарегистрированной безработицы - 0,12%.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jc w:val="right"/>
        <w:spacing w:after="0" w:line="240" w:lineRule="auto"/>
        <w:widowControl w:val="off"/>
        <w:rPr>
          <w:rFonts w:ascii="Times New Roman" w:hAnsi="Times New Roman" w:eastAsia="Calibri" w:cs="Times New Roman"/>
          <w:color w:val="000000" w:themeColor="text1"/>
          <w:highlight w:val="none"/>
        </w:rPr>
      </w:pPr>
      <w:r>
        <w:rPr>
          <w:rFonts w:ascii="Times New Roman" w:hAnsi="Times New Roman" w:eastAsia="Calibri" w:cs="Times New Roman"/>
          <w:color w:val="000000" w:themeColor="text1"/>
          <w:highlight w:val="none"/>
        </w:rPr>
        <w:t xml:space="preserve">Таблица 2</w:t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 w:themeColor="text1"/>
          <w:highlight w:val="non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 w:themeColor="text1"/>
          <w:highlight w:val="non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  <w:t xml:space="preserve">Динамика численности населения трудоспособного возраста</w:t>
      </w: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none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eastAsia="Times New Roman" w:cs="Times New Roman"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highlight w:val="none"/>
        </w:rPr>
      </w:r>
    </w:p>
    <w:tbl>
      <w:tblPr>
        <w:tblStyle w:val="1187"/>
        <w:tblW w:w="0" w:type="auto"/>
        <w:tblLook w:val="04A0" w:firstRow="1" w:lastRow="0" w:firstColumn="1" w:lastColumn="0" w:noHBand="0" w:noVBand="1"/>
      </w:tblPr>
      <w:tblGrid>
        <w:gridCol w:w="6409"/>
        <w:gridCol w:w="982"/>
        <w:gridCol w:w="982"/>
        <w:gridCol w:w="982"/>
        <w:gridCol w:w="982"/>
      </w:tblGrid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  <w:lang w:eastAsia="ru-RU"/>
              </w:rPr>
              <w:t xml:space="preserve">Наименование показателя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  <w:lang w:eastAsia="ru-RU"/>
              </w:rPr>
              <w:t xml:space="preserve">2022 год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  <w:lang w:eastAsia="ru-RU"/>
              </w:rPr>
              <w:t xml:space="preserve">2023 год</w:t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  <w:lang w:eastAsia="ru-RU"/>
              </w:rPr>
              <w:t xml:space="preserve">2024 год</w:t>
            </w:r>
            <w:r>
              <w:rPr>
                <w:color w:val="000000" w:themeColor="text1"/>
                <w:highlight w:val="none"/>
              </w:rPr>
            </w:r>
            <w:r>
              <w:rPr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rPr>
                <w:color w:val="ff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 w:themeColor="text1"/>
                <w:highlight w:val="none"/>
                <w:lang w:eastAsia="ru-RU"/>
              </w:rPr>
              <w:t xml:space="preserve">2025 год</w:t>
            </w:r>
            <w:r>
              <w:rPr>
                <w:color w:val="ff0000" w:themeColor="text1"/>
                <w:highlight w:val="none"/>
              </w:rPr>
            </w:r>
            <w:r>
              <w:rPr>
                <w:color w:val="ff0000" w:themeColor="text1"/>
                <w:highlight w:val="non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Численность (в процентном соотношении)</w:t>
            </w:r>
            <w:r>
              <w:rPr>
                <w:color w:val="000000" w:themeColor="text1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граждан трудоспособного возраста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59,8%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59,6%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62,7%</w:t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ff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62,7%</w:t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моложе трудоспособного возраста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22,5%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21,8%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20,4%</w:t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ff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20,4%</w:t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</w:p>
        </w:tc>
      </w:tr>
      <w:tr>
        <w:tblPrEx/>
        <w:trPr/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старше трудоспособного возраста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17,7%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  <w:lang w:eastAsia="ru-RU"/>
              </w:rPr>
              <w:t xml:space="preserve">18,6%</w:t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bCs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00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17,5%</w:t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000000" w:themeColor="text1"/>
                <w:highlight w:val="none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/>
                <w:color w:val="ff0000" w:themeColor="text1"/>
                <w:highlight w:val="none"/>
              </w:rPr>
            </w:pPr>
            <w:r>
              <w:rPr>
                <w:rFonts w:ascii="Times New Roman" w:hAnsi="Times New Roman" w:eastAsia="Times New Roman"/>
                <w:color w:val="000000" w:themeColor="text1"/>
                <w:highlight w:val="none"/>
                <w:lang w:eastAsia="ru-RU"/>
              </w:rPr>
              <w:t xml:space="preserve">16,9%</w:t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  <w:r>
              <w:rPr>
                <w:rFonts w:ascii="Times New Roman" w:hAnsi="Times New Roman" w:eastAsia="Times New Roman"/>
                <w:color w:val="ff0000" w:themeColor="text1"/>
                <w:highlight w:val="none"/>
              </w:rPr>
            </w:r>
          </w:p>
        </w:tc>
      </w:tr>
    </w:tbl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Реализация поставленных задач позволила сохранить стабильную ситуацию на рынке труда, обеспечить устойчивое развитие социальных отраслей, создав тем самым условия для дальнейшего качественного развития города.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000000" w:themeColor="text1"/>
          <w:sz w:val="28"/>
          <w:szCs w:val="28"/>
          <w:highlight w:val="white"/>
        </w:rPr>
        <w:t xml:space="preserve">1.2. Контактная информация органов местного самоуправления,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осуществляющих управление в сфере образования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4393"/>
        <w:gridCol w:w="4961"/>
      </w:tblGrid>
      <w:tr>
        <w:tblPrEx/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органа местного самоуправления, осуществляющего управление в сфере образования: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департамент образования администрации города Нижневартовска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628615, Российская Федерация, Ханты-Мансийский автономный округ—Югра, город Нижневартовск, улица Дзержинского, 15/13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7"/>
        </w:trPr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Телефоны: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8 (3466) 43-75-29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Электронная почта: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2" w:tooltip="mailto:do@n-vartovsk.ru" w:history="1">
              <w:r>
                <w:rPr>
                  <w:rStyle w:val="1182"/>
                  <w:rFonts w:ascii="Times New Roman" w:hAnsi="Times New Roman" w:eastAsia="Times New Roman" w:cs="Times New Roman"/>
                  <w:color w:val="auto"/>
                  <w:sz w:val="24"/>
                  <w:szCs w:val="24"/>
                  <w:lang w:eastAsia="ru-RU"/>
                </w:rPr>
                <w:t xml:space="preserve">do@n-vartovsk.ru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Сайт: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3" w:tooltip="http://www.edu-nv.ru" w:history="1">
              <w:r>
                <w:rPr>
                  <w:rStyle w:val="1182"/>
                  <w:rFonts w:ascii="Times New Roman" w:hAnsi="Times New Roman" w:eastAsia="Times New Roman" w:cs="Times New Roman"/>
                  <w:color w:val="auto"/>
                  <w:sz w:val="24"/>
                  <w:szCs w:val="24"/>
                  <w:lang w:eastAsia="ru-RU"/>
                </w:rPr>
                <w:t xml:space="preserve">www.edu-nv.ru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Наименование органа местного самоуправления, осуществляющего управление в сфере дополнительного образования (культура):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департамент по социальной политике администрации города Нижневартовска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Адрес: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628605, Российская Федерация, Ханты-Мансийский автономный округ – Югра, город Нижневартовск, улица Ханты-Мансийская, 21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439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Телефоны: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8 (3466) 43-42-86, 29-11-46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477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Электронная почта: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0" w:type="auto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/>
            <w:hyperlink r:id="rId14" w:tooltip="mailto:dsp@n-vartovsk.ru" w:history="1"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val="en-US" w:eastAsia="ru-RU"/>
                </w:rPr>
                <w:t xml:space="preserve">dsp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 xml:space="preserve">@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val="en-US" w:eastAsia="ru-RU"/>
                </w:rPr>
                <w:t xml:space="preserve">n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 xml:space="preserve">-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val="en-US" w:eastAsia="ru-RU"/>
                </w:rPr>
                <w:t xml:space="preserve">vartovsk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val="en-US" w:eastAsia="ru-RU"/>
                </w:rPr>
                <w:t xml:space="preserve">ru</w:t>
              </w:r>
            </w:hyperlink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/>
            <w:hyperlink r:id="rId15" w:tooltip="mailto:uk@n-vartovsk.ru" w:history="1"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auto"/>
                  <w:sz w:val="24"/>
                  <w:szCs w:val="24"/>
                  <w:lang w:eastAsia="ru-RU"/>
                </w:rPr>
                <w:t xml:space="preserve">uk@n-vartovsk.ru</w:t>
              </w:r>
            </w:hyperlink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</w:tr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Наименование органа местного самоуправления, осуществляющего управление в сфере дополнительного образования 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физическая культура и спорт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):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департамент по социальной политике администрации города Нижневартовска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Адрес: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628605, Российская Федерация, Ханты-Мансийский автономный округ – Югра, город Нижневартовск, улица Ханты-Мансийская, 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Телефоны: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8 (3466) 43-42-86, </w:t>
            </w: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29-11-46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7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Электронная почта: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0" w:type="auto"/>
            <w:vMerge w:val="restart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/>
            <w:hyperlink r:id="rId16" w:tooltip="mailto:dsp@n-vartovsk.ru" w:history="1"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val="en-US" w:eastAsia="ru-RU"/>
                </w:rPr>
                <w:t xml:space="preserve">dsp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@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val="en-US" w:eastAsia="ru-RU"/>
                </w:rPr>
                <w:t xml:space="preserve">n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-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val="en-US" w:eastAsia="ru-RU"/>
                </w:rPr>
                <w:t xml:space="preserve">vartovsk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eastAsia="ru-RU"/>
                </w:rPr>
                <w:t xml:space="preserve">.</w:t>
              </w:r>
              <w:r>
                <w:rPr>
                  <w:rStyle w:val="1182"/>
                  <w:rFonts w:ascii="Times New Roman" w:hAnsi="Times New Roman" w:eastAsia="Times New Roman" w:cs="Times New Roman"/>
                  <w:bCs/>
                  <w:color w:val="000000" w:themeColor="text1"/>
                  <w:sz w:val="24"/>
                  <w:szCs w:val="24"/>
                  <w:lang w:val="en-US" w:eastAsia="ru-RU"/>
                </w:rPr>
                <w:t xml:space="preserve">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ufks@n-vartovsk.ru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t xml:space="preserve">1.3. Информация о программах и проектах в сфере образования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В муниципальной системе образования в 2025 году реализовывались следующие программы: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1) муниципальная программа "Развитие образования города Нижневартовска", утвержденная постановлением администрации города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br/>
        <w:t xml:space="preserve">от 08.08.2024 № 672.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Программа реализуется в целях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беспечения доступности качественного образования в соответствии с требованиями современной образовательной политики и потребностями личности, ф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ормирования эффективной системы выявления, поддержки и развития способностей </w:t>
        <w:br/>
        <w:t xml:space="preserve">и талантов у детей и молодежи,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 позитивного мышления, принципов здорового образа жизни, предупреждение деструктивного (виктимного) поведения обучающихся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;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2) муниципальная программа "Развитие социальной сферы города Нижневартовска", утвержденная постановлением администрации города Нижневартовска от 24.09.2024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№ 849.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Программой предусмотрены мероприятия, направленные на создание условий для развития дополнительного образ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ования детей в детских школах искусств города, сопровождение и поддержку одаренных детей и молодежи в сфере культуры и искусства, обновление материально-технической базы учреждений.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соответствии распоряжением администрации города Нижневартовска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br/>
        <w:t xml:space="preserve">от 19.06.2014 №1046-р, в рамках реализации Плана мероприятий ("дорожной карты") введения инклюзивного образования в муниципальных образовательных организациях го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рода Нижневартовска.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бучающимся образовательных организаций дополнительного образования сферы культуры установлена ежегодная премия, вручаемая</w:t>
        <w:br/>
        <w:t xml:space="preserve">по итогам конкурса, порядок которого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утвержден постановлением администраци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и города Нижневартовска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от 19.06.2015 №1158 </w:t>
        <w:br/>
        <w:t xml:space="preserve">"Об утверждении Положения о порядке установления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и выплаты ежегодной премии "Юные таланты Самотлора" обучающимся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в муниципальных образовательных организациях дополнительного образования, подведомственных департам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енту по социальной политике администрации города, проявившим выдающиеся способности в учебе и творческих мероприятиях" (с изменениями).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yellow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t xml:space="preserve">1.4. Краткая информация о проведении анализа состояния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br/>
        <w:t xml:space="preserve">и перспектив развития системы образования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Проведение мониторинга муниципальной системы образования осуществлялось во исполнение: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постановления Правительства Российской Федерации от 05.08.2013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№ 662 "Об осуществлении мониторинга системы образования" </w:t>
        <w:br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приказов Министерства образования и науки Российской Федерации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br/>
        <w:t xml:space="preserve">от 22.09.2017 № 955 "Об утверждении показателей мониторинга системы образования", от 11.06.2014 № 657 "Об утверждении методики расчета показателей мониторинга системы образования"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(с изменениями)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 </w:t>
        <w:br/>
        <w:t xml:space="preserve">от 27.08.2014 № 1146 "Об утверждении формы итогового отчета о результатах анализа состояния и перспектив развития системы образования";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приказа Департамента образования и молодежной политики</w:t>
        <w:br/>
        <w:t xml:space="preserve">Ханты-Мансийского автономного округа – Югры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от 15.10.2014 № 1322 </w:t>
        <w:br/>
        <w:t xml:space="preserve">"Об осуществлении мониторинга системы образования Ханты-Мансийского автономного округа – Югры";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распоряжения администрации города Нижнев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артовска от 29.06.2017 </w:t>
        <w:br/>
        <w:t xml:space="preserve">№ 1050-р "Об утверждении процедуры, с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роков проведения 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показателей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мониторинга системы образования города Нижневартовска"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 изменениями)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При сборе статистической информации для расчета показателей мониторинга муниципальной системы образования использовались сводные данные статистических отчетов: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Сведения о деятельности организации, осуществляющей образовательную деятельность по образовательным программам дошкольного образования, присмотр и уход за детьми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по форме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федерального статистического наблюдения №85-К,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утвержденной приказом Федеральной службы государственной статистики от 31.07.2024 №332</w:t>
      </w:r>
      <w:r>
        <w:rPr>
          <w:color w:val="000000" w:themeColor="text1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"Об утверждении форм федерального статистического наблюдения для организации федерального статистического наблюдения за деятельностью в сфере образования, науки и инноваций"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Сведения об организации, осуществляющей подготовку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по образовательным программам начального общего, основного общего, среднего общего образования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по форме № ОО-1;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Сведения о материально-технической и информационной базе, финансово-экономической деятельности общеобразовательной организации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по форме № ОО-2;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"Сведения о детской музы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кальной, художественной, хореографической школе и школе искусств" по форме №1-ДШИ, утвержденной приказом Росстата от 02.06.2021 №298 "Об утверждении формы федерального статистического наблюдения с указаниями по ее заполнению для организации Министерством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ультуры Российской Федерации федерального статистического наблюдения свед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ения о детской музыкальной, художественной, хореографической школе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и школе искусств" (в соответствии со сроками, предусмотренными формой, сведения заполнены по состоянию на начало 2025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-2026 учебного года);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"Сведения об организации, осуществляющей деятельность по дополнительным общеобразовательным программам для детей" по форме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1-ДОД, утвержденной приказом Росстата 31.07.2024 №332</w:t>
      </w:r>
      <w:r>
        <w:rPr>
          <w:color w:val="000000" w:themeColor="text1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"Об утверждении форм федерального статистического наблюдения для организации федерального статистического наблюдения за деятельностью в сфере образования, науки и инноваций";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целевые показатели реализации муниципальной программы "Развитие образования города Нижневартовска", утвержденной постановлением администрации города от 08.08.2024 № 672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(с изменениями);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целевые показатели реализации муниципальной программы "Развитие социальной сферы города Нижневартовска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", утвержденной постановлением администрации города Нижневартовска от 24.09.2024 №849 (с изменениями);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целевые показатели реализации муниципальных заданий учреждений дополнительного образования, подведомственных департаменту образования и департаменту по социальной политике администрации города, за 2025 год.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</w:rPr>
      </w:r>
    </w:p>
    <w:p>
      <w:pPr>
        <w:pStyle w:val="1026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материалы государственной итоговой аттестации выпускников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9-х и 11-х классов.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При расчете данных, отражающих охват детей в возрасте 5-18 лет дополнительными общеобразовательными программами (удельный вес численности детей, получающих услуги дополнительного образования,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в общей численности детей в возрасте 5-18 лет),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применялись статистические показатели демографической ситуации в городе Нижневартовске, данные управления Федеральной службы государственной статистики по Тюменской области Ханты-Мансийскому автономному округу – Югры и Ямало-Ненецкому автономному округу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Тюменьстат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) на официальном сайте: </w:t>
      </w:r>
      <w:hyperlink r:id="rId17" w:tooltip="http://tumstat.gks.ru" w:history="1">
        <w:r>
          <w:rPr>
            <w:rStyle w:val="1182"/>
            <w:rFonts w:ascii="Times New Roman" w:hAnsi="Times New Roman" w:eastAsia="Times New Roman" w:cs="Times New Roman"/>
            <w:color w:val="000000" w:themeColor="text1"/>
            <w:sz w:val="28"/>
            <w:szCs w:val="28"/>
            <w:highlight w:val="white"/>
            <w:lang w:eastAsia="ru-RU"/>
          </w:rPr>
          <w:t xml:space="preserve">http://tumstat.gks.ru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данные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автоматизированной информационной системы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"Персонифицированное дополнительное образование".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t xml:space="preserve">Раздел 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val="en-US" w:eastAsia="ru-RU"/>
        </w:rPr>
        <w:t xml:space="preserve">II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t xml:space="preserve">. Анализ состояния и перспектив развития системы образования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lang w:eastAsia="ru-RU"/>
        </w:rPr>
        <w:t xml:space="preserve">Результаты анализа состояния и перспектив развития системы образования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lang w:eastAsia="ru-RU"/>
        </w:rPr>
        <w:br/>
        <w:t xml:space="preserve">в соответствии с разделами и подразделами показател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lang w:eastAsia="ru-RU"/>
        </w:rPr>
        <w:t xml:space="preserve">ей мониторинга системы образования, утвержденных приказом Министерства образования и науки Российской Федерации от 22.09.2017 № 955 "Об утверждении показателей мониторинга системы образования", сравнительная оценка с предыдущими отчетами, постановка задач 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  <w:lang w:eastAsia="ru-RU"/>
        </w:rPr>
        <w:br/>
        <w:t xml:space="preserve">по развитию системы образования на следующий год</w:t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bCs/>
          <w:i/>
          <w:color w:val="000000" w:themeColor="text1"/>
          <w:sz w:val="24"/>
          <w:szCs w:val="24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  <w:lang w:eastAsia="ru-RU"/>
        </w:rPr>
        <w:t xml:space="preserve">2.1. Анализ текущего состояния и перспектив развития предоставления общего (дошкольного, начального общего, основного общего, среднего общего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white"/>
          <w:lang w:eastAsia="ru-RU"/>
        </w:rPr>
        <w:t xml:space="preserve">) и дополнительного образования в городе Нижневартовске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2.1.1. В муниципальной системе образования созданы условия для обеспечения прав граждан на получение бесплатного доступного дош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кольного образования независимо от социального статуса семей.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Деяте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льность детских садов города осуществлялась на основе обра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зовательной программы дошкольного образования. Во всех дошкольных образовательных организациях города Нижневартовска реализовывались образовательные программы дошкольного образования, разработанные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br/>
        <w:t xml:space="preserve">в соответствии с Федеральным законом "Об образовании в Российской Федерации" от 29 декабря 2012 года № 273-ФЗ, Федеральным государственным образовательным стандартом дошкольного образования, утвержденным приказо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м Министерства образования и науки Российской Федерации от 17 октября 2013 года №1155 "Об утверждении Федерального государственного образовательного стандарта дошкольного образования"</w:t>
        <w:br/>
        <w:t xml:space="preserve">и федеральной образовательной программой дошкольного образования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, утвержденной приказом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Минпросвещения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России от 25.11.2022 № 1028 </w:t>
        <w:br/>
        <w:t xml:space="preserve">"Об утверждении федеральной образовательной программы дошкольного образования".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2025 году дошкольное образование обеспеч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ивали 25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дошкольных образовательных учреждени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(66 объектов), подведомственных департаменту образования администрации города Нижневартовска, 2 частных детских сада (4 объекта).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Доступность дошкольного образования в возрасте от 2-х месяцев до 7-ми лет составила 100%. Актуальный спрос на предоставление мест в дошкольных образовательных учреждениях на конец 2025 года полностью удовлетворен.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Детские сады, подведомственные департаменту образования администрации города Нижневартовска, посещали 15 100 детей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(в 2024 году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16 681 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  <w:lang w:eastAsia="ru-RU"/>
        </w:rPr>
        <w:t xml:space="preserve">ребенок).</w:t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городе функционировали группы сокращенного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и вечернего пребывания. В 2025 году такие услуги предоставляли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дошкольных образовательных организаций с общим охватом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141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ребенок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4 дошкольных организациях созданы условия для организации детей младенческого возраста от 2-х месяцев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дошкольных учреждениях было сформировано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804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дошкольных групп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ы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с общим количеством детей –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15 100 детей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Наполняемость групп общ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еразвивающей направленности 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3,5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человека, компенсирующей направленности – 9,6 человек.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системе дошкольного образования занято 4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133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работника.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Образовательную услугу по адаптированным программам дошкольного образования получают 2 </w:t>
      </w:r>
      <w:r>
        <w:rPr>
          <w:rFonts w:ascii="Times New Roman" w:hAnsi="Times New Roman"/>
          <w:sz w:val="28"/>
          <w:szCs w:val="28"/>
          <w:highlight w:val="white"/>
        </w:rPr>
        <w:t xml:space="preserve">584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ребенка</w:t>
      </w:r>
      <w:r>
        <w:rPr>
          <w:rFonts w:ascii="Times New Roman" w:hAnsi="Times New Roman"/>
          <w:sz w:val="28"/>
          <w:szCs w:val="28"/>
          <w:highlight w:val="white"/>
        </w:rPr>
        <w:t xml:space="preserve"> с ограниченными возможностями здоровья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2211 детей,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1941 ребенок, в 2022 году – 1468 детей, в 2021 году – 1036 детей, в 2020 году – 940 детей), в том числе </w:t>
      </w:r>
      <w:r>
        <w:rPr>
          <w:rFonts w:ascii="Times New Roman" w:hAnsi="Times New Roman"/>
          <w:sz w:val="28"/>
          <w:szCs w:val="28"/>
          <w:highlight w:val="white"/>
        </w:rPr>
        <w:t xml:space="preserve">285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детей</w:t>
      </w:r>
      <w:r>
        <w:rPr>
          <w:rFonts w:ascii="Times New Roman" w:hAnsi="Times New Roman"/>
          <w:sz w:val="28"/>
          <w:szCs w:val="28"/>
          <w:highlight w:val="white"/>
        </w:rPr>
        <w:t xml:space="preserve">-инвалид</w:t>
      </w:r>
      <w:r>
        <w:rPr>
          <w:rFonts w:ascii="Times New Roman" w:hAnsi="Times New Roman"/>
          <w:sz w:val="28"/>
          <w:szCs w:val="28"/>
          <w:highlight w:val="white"/>
        </w:rPr>
        <w:t xml:space="preserve">ов</w:t>
      </w:r>
      <w:r>
        <w:rPr>
          <w:rFonts w:ascii="Times New Roman" w:hAnsi="Times New Roman"/>
          <w:sz w:val="28"/>
          <w:szCs w:val="28"/>
          <w:highlight w:val="white"/>
        </w:rPr>
        <w:t xml:space="preserve"> 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261 ребенок,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238 детей, в 2022 году – 216 </w:t>
      </w:r>
      <w:r>
        <w:rPr>
          <w:rFonts w:ascii="Times New Roman" w:hAnsi="Times New Roman"/>
          <w:sz w:val="28"/>
          <w:szCs w:val="28"/>
          <w:highlight w:val="white"/>
        </w:rPr>
        <w:t xml:space="preserve">детей</w:t>
      </w:r>
      <w:r>
        <w:rPr>
          <w:rFonts w:ascii="Times New Roman" w:hAnsi="Times New Roman"/>
          <w:sz w:val="28"/>
          <w:szCs w:val="28"/>
          <w:highlight w:val="white"/>
        </w:rPr>
        <w:t xml:space="preserve">, в 2021 году – 203 </w:t>
      </w:r>
      <w:r>
        <w:rPr>
          <w:rFonts w:ascii="Times New Roman" w:hAnsi="Times New Roman"/>
          <w:sz w:val="28"/>
          <w:szCs w:val="28"/>
          <w:highlight w:val="white"/>
        </w:rPr>
        <w:t xml:space="preserve">ребенка</w:t>
      </w:r>
      <w:r>
        <w:rPr>
          <w:rFonts w:ascii="Times New Roman" w:hAnsi="Times New Roman"/>
          <w:sz w:val="28"/>
          <w:szCs w:val="28"/>
          <w:highlight w:val="white"/>
        </w:rPr>
        <w:t xml:space="preserve">, в 2020 году – 189 детей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В целях осуществления комплексного подхода по формированию доступной среды для детей дошкольного возраста с ограниченными возможностями здоровья в образовательной системе города функционирует 2</w:t>
      </w:r>
      <w:r>
        <w:rPr>
          <w:rFonts w:ascii="Times New Roman" w:hAnsi="Times New Roman"/>
          <w:sz w:val="28"/>
          <w:szCs w:val="28"/>
          <w:highlight w:val="white"/>
        </w:rPr>
        <w:t xml:space="preserve">60</w:t>
      </w:r>
      <w:r>
        <w:rPr>
          <w:rFonts w:ascii="Times New Roman" w:hAnsi="Times New Roman"/>
          <w:sz w:val="28"/>
          <w:szCs w:val="28"/>
          <w:highlight w:val="white"/>
        </w:rPr>
        <w:t xml:space="preserve"> групп компенсирующей направленности 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228 групп,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201 группа, в 2022 году – 152 группы, в 2021 году – 107 групп, в 2020 году – 95 групп) для детей: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 нарушением речи – </w:t>
      </w:r>
      <w:r>
        <w:rPr>
          <w:rFonts w:ascii="Times New Roman" w:hAnsi="Times New Roman"/>
          <w:sz w:val="28"/>
          <w:szCs w:val="28"/>
          <w:highlight w:val="white"/>
        </w:rPr>
        <w:t xml:space="preserve">209</w:t>
      </w:r>
      <w:r>
        <w:rPr>
          <w:rFonts w:ascii="Times New Roman" w:hAnsi="Times New Roman"/>
          <w:sz w:val="28"/>
          <w:szCs w:val="28"/>
          <w:highlight w:val="white"/>
        </w:rPr>
        <w:t xml:space="preserve"> групп 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179 групп,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160 групп,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году – 121 группа, в 2021 году – 72 группы, в 2020 году – 67 групп);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 для детей с нарушением зрения – 3 группы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2024 году – 3 группы,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3 группы,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году – 2 группы, в 2021 году – 3 группы, в 2020 году – 3 группы);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 нарушением интеллекта – 2 группы 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2 группы,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3 группы,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году – 6 групп, в 2021 году – 3 группы, в 2020 году – 2 группы);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 заде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ржкой психического развития – 38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групп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2024 году – 35 групп,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27 групп,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– 17 групп, в 2021 году – 18 групп, в 2020 году – 19 групп);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 для детей с нарушениями о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порно-двигательного аппарата – 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групп </w:t>
        <w:br/>
      </w:r>
      <w:r>
        <w:rPr>
          <w:rFonts w:ascii="Times New Roman" w:hAnsi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8 групп,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7 групп,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году – 6 групп, в 2021 году – 5 групп, в 2020 году – 4 группы);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со сложным дефектом – 1 группа </w:t>
      </w:r>
      <w:r>
        <w:rPr>
          <w:rFonts w:ascii="Times New Roman" w:hAnsi="Times New Roman"/>
          <w:sz w:val="28"/>
          <w:szCs w:val="28"/>
          <w:highlight w:val="white"/>
        </w:rPr>
        <w:t xml:space="preserve">(</w:t>
      </w:r>
      <w:r>
        <w:rPr>
          <w:rFonts w:ascii="Times New Roman" w:hAnsi="Times New Roman"/>
          <w:sz w:val="28"/>
          <w:szCs w:val="28"/>
          <w:highlight w:val="white"/>
        </w:rPr>
        <w:t xml:space="preserve">в 2024 году – 1 группа, </w:t>
      </w:r>
      <w:r>
        <w:rPr>
          <w:rFonts w:ascii="Times New Roman" w:hAnsi="Times New Roman"/>
          <w:sz w:val="28"/>
          <w:szCs w:val="28"/>
          <w:highlight w:val="white"/>
        </w:rPr>
        <w:t xml:space="preserve">в 2023 году – 1 группа,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2022 году – 0 групп, в 2021 году – 0 групп, в 2020 году – 0 групп).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Подведомственные дошкольные образовательные организации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br/>
        <w:t xml:space="preserve">на достаточном уровне оснащены материально-техническим обеспечением: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100% – удельный вес числа организаций, имеющих водоснабжение, центральное отопление, канализацию, в общем числе дошкольных образовательных организаций;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100% дошкольных организаций имеют физкультурные залы.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Зданий дошкольных образовательных организаций, находящихся </w:t>
        <w:br/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аварийном состоянии, нет.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Два здания (МБДОУ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детский сад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№7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Жар-птица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расположенный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по адресу: ул. Маршала Жукова, д. 4в,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и МБДОУ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детский сад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№67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Умка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расположенный по адресу: проспект Победы, д. 11б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) в форме статистической отчетности № 85-К стоят как объекты, требующие капитального ремонта.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2.1.2. В муниципальной системе образования созданы условия для обеспечения прав граждан на получение обязательного бесплатного доступного общего (начального общего, основного общего, среднего общего) образования (далее – общее образование).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городе общее образование обеспечивали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33 подведомственных общеобразовательных организаций (23 средние общеобразовательные школы, 5 школ с углубленным изучением предметов, 2 гимназии, 3 лицея) и 1 частное образовательное учреждение "Православная гимназия в честь Казанской иконы Божьей Матери".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последние два года наблюдается незначительное снижение численности обучающихся общеобразовательных организаций.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  <w:lang w:eastAsia="ru-RU"/>
        </w:rPr>
        <w:t xml:space="preserve">Таблица 3</w:t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highlight w:val="whit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  <w:t xml:space="preserve">Численность обучающихся общеобразовательных организаций</w:t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685"/>
        <w:gridCol w:w="992"/>
        <w:gridCol w:w="992"/>
        <w:gridCol w:w="992"/>
        <w:gridCol w:w="992"/>
        <w:gridCol w:w="850"/>
        <w:gridCol w:w="850"/>
      </w:tblGrid>
      <w:tr>
        <w:tblPrEx/>
        <w:trPr>
          <w:trHeight w:val="567"/>
        </w:trPr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Наименование показателя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2020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2021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2022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2023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2024 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2025 </w:t>
            </w:r>
            <w:r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r>
          </w:p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bCs/>
                <w:color w:val="000000" w:themeColor="text1"/>
                <w:highlight w:val="white"/>
                <w:lang w:eastAsia="ar-SA"/>
              </w:rPr>
            </w:r>
            <w:r>
              <w:rPr>
                <w:rFonts w:ascii="Times New Roman" w:hAnsi="Times New Roman" w:eastAsia="SimSun" w:cs="Times New Roman"/>
                <w:b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bCs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ff0000" w:themeColor="text1"/>
                <w:highlight w:val="white"/>
              </w:rPr>
            </w:r>
          </w:p>
        </w:tc>
      </w:tr>
      <w:tr>
        <w:tblPrEx/>
        <w:trPr>
          <w:trHeight w:val="567"/>
        </w:trPr>
        <w:tc>
          <w:tcPr>
            <w:shd w:val="clear" w:color="ffffff" w:fill="ffffff"/>
            <w:tcW w:w="368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Численность обучающихся общеобразовательных организаций, чел.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shd w:val="clear" w:color="ffffff" w:fill="ffffff"/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35 405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36 275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37 485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992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37 981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37 923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850" w:type="dxa"/>
            <w:textDirection w:val="lrTb"/>
            <w:noWrap w:val="false"/>
          </w:tcPr>
          <w:p>
            <w:pPr>
              <w:ind w:firstLine="33"/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37266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году общее образование получили 37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266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обучающихся, из них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в частном образовательном учреждении "Православная гимназия в честь Казанской иконы Божьей Матери"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16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человек.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общеобразовательных организациях созданы условия для обеспечения доступности образования для детей-инвалидов и детей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 ограниченными возможностями здоровья.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contextualSpacing/>
        <w:jc w:val="right"/>
        <w:spacing w:after="0" w:line="240" w:lineRule="auto"/>
        <w:widowControl w:val="off"/>
        <w:rPr>
          <w:rFonts w:ascii="Times New Roman" w:hAnsi="Times New Roman" w:eastAsia="Calibri" w:cs="Times New Roman"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color w:val="000000" w:themeColor="text1"/>
          <w:highlight w:val="white"/>
        </w:rPr>
      </w:r>
    </w:p>
    <w:p>
      <w:pPr>
        <w:contextualSpacing/>
        <w:jc w:val="right"/>
        <w:spacing w:after="0" w:line="240" w:lineRule="auto"/>
        <w:widowControl w:val="off"/>
        <w:rPr>
          <w:rFonts w:ascii="Times New Roman" w:hAnsi="Times New Roman" w:eastAsia="Calibri" w:cs="Times New Roman"/>
          <w:color w:val="000000" w:themeColor="text1"/>
          <w:highlight w:val="none"/>
        </w:rPr>
      </w:pPr>
      <w:r>
        <w:rPr>
          <w:rFonts w:ascii="Times New Roman" w:hAnsi="Times New Roman" w:eastAsia="Calibri" w:cs="Times New Roman"/>
          <w:color w:val="000000" w:themeColor="text1"/>
          <w:highlight w:val="white"/>
        </w:rPr>
        <w:t xml:space="preserve">Таблица 4</w:t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  <w:r>
        <w:rPr>
          <w:rFonts w:ascii="Times New Roman" w:hAnsi="Times New Roman" w:eastAsia="Calibri" w:cs="Times New Roman"/>
          <w:color w:val="000000" w:themeColor="text1"/>
          <w:highlight w:val="none"/>
        </w:rPr>
      </w:r>
    </w:p>
    <w:p>
      <w:pPr>
        <w:contextualSpacing/>
        <w:jc w:val="center"/>
        <w:spacing w:after="0" w:line="240" w:lineRule="auto"/>
        <w:widowControl w:val="off"/>
        <w:rPr>
          <w:rFonts w:ascii="Times New Roman" w:hAnsi="Times New Roman" w:eastAsia="Calibri" w:cs="Times New Roman"/>
          <w:b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</w:p>
    <w:p>
      <w:pPr>
        <w:ind w:left="23" w:right="40" w:firstLine="686"/>
        <w:jc w:val="center"/>
        <w:spacing w:after="0" w:line="240" w:lineRule="auto"/>
        <w:rPr>
          <w:rFonts w:ascii="Times New Roman" w:hAnsi="Times New Roman" w:eastAsia="Calibri" w:cs="Times New Roman"/>
          <w:b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  <w:t xml:space="preserve">Динамика численности обучающихся с ограниченными возможностями здоровья</w:t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</w:p>
    <w:p>
      <w:pPr>
        <w:ind w:left="23" w:right="40" w:firstLine="686"/>
        <w:jc w:val="center"/>
        <w:spacing w:after="0" w:line="240" w:lineRule="auto"/>
        <w:rPr>
          <w:rFonts w:ascii="Times New Roman" w:hAnsi="Times New Roman" w:eastAsia="Calibri" w:cs="Times New Roman"/>
          <w:b/>
          <w:color w:val="000000" w:themeColor="text1"/>
          <w:highlight w:val="white"/>
        </w:rPr>
      </w:pP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  <w:r>
        <w:rPr>
          <w:rFonts w:ascii="Times New Roman" w:hAnsi="Times New Roman" w:eastAsia="Calibri" w:cs="Times New Roman"/>
          <w:b/>
          <w:color w:val="000000" w:themeColor="text1"/>
          <w:highlight w:val="white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3679"/>
        <w:gridCol w:w="1133"/>
        <w:gridCol w:w="1133"/>
        <w:gridCol w:w="1133"/>
        <w:gridCol w:w="1133"/>
        <w:gridCol w:w="1133"/>
      </w:tblGrid>
      <w:tr>
        <w:tblPrEx/>
        <w:trPr/>
        <w:tc>
          <w:tcPr>
            <w:shd w:val="clear" w:color="ffffff" w:fill="ffffff"/>
            <w:tcW w:w="367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Показатель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2021 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2022 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2023 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2024 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val="en-US" w:eastAsia="ar-SA"/>
              </w:rPr>
              <w:t xml:space="preserve"> 2025 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  <w:lang w:eastAsia="ar-SA"/>
              </w:rPr>
              <w:t xml:space="preserve">год</w:t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b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36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Количество обучающихся детей с ограниченными возможностями здоровья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617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649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836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1 013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1144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val="en-US" w:eastAsia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36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Из них, количество детей-инвалидов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265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130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151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168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197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shd w:val="clear" w:color="ffffff" w:fill="ffffff"/>
            <w:tcW w:w="367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дети-инвалиды без статуса ребенок с ОВЗ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151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162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175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206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eastAsia="ar-SA"/>
              </w:rPr>
              <w:t xml:space="preserve">206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  <w:lang w:val="en-US" w:eastAsia="ar-SA"/>
              </w:rPr>
              <w:t xml:space="preserve"> </w:t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eastAsia="SimSun" w:cs="Times New Roman"/>
                <w:color w:val="000000" w:themeColor="text1"/>
                <w:highlight w:val="white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Открыто 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классов для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393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детей-инвалидов и детей с ограниченными возможностями здоровья: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классов для 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с задержкой психического развития </w:t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2024 году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– 22 класса (216 обучающихся),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21 класс (206 обучающ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ихся), в 2022 году – 16 классов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(178 обучающихся), в 2021 году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– 12 классов (138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);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9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классов для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109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детей с интеллектуальными нарушениями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8 классов (73 обучающихся),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7 классов (49 обучающихся),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2022 году – 3 класса (25 обучающихся), в 2021 году – 2 класса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(13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 класс для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с тяжелыми нарушениями речи.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Инклюзивное образование организовано для 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70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718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609 обучающихся, в 2022 году – 474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в 2021 году – 471 обучающийся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):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расстройствами аутистического спектра – 5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4 обучающихся, в 2022 году – 4 обучающихся, в 2021 году – 7 обучающихся);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задержкой психического развития – 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519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411 обучающихся, в 2022 году – 312 обучающихся, в 2021 году – 138 обучающихся);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нарушением опорно-двигательного аппарата – 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br/>
        <w:t xml:space="preserve">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51 обучающийся, в 2022 году – 51 обучающийся, 2021 году –47 обучающихся);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нарушением зрения – 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31 обучающийся, в 2022 году – 37 обучающихся, в 2021 году – 34 обучающихся);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тяжелым нарушением речи – 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62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–51 обучающийся, в 2022 году – 40 обучающихся, в 2021 году –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25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нарушением слуха – 1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5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16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13 обучающихся, в 2022 году – 9 обучающи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хся, 2021 году – </w:t>
        <w:br/>
        <w:t xml:space="preserve">18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легкой умственной отсталостью (интеллектуальными нарушениями)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14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обучающихся,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6 обучающихся, в 2022 году – 7 обучающихся, 2021 году – 4 обучающихся);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с иными ограниченными возможностями здоровья (сахарный диабет, нарушение поведения) – 3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32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</w:t>
        <w:br/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2023 году – 33 обучающихся, в 2022 году – 14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 в 2021 году – 202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).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Для детей-инвалидов и детей с ограниченными возможностями здоровья, которые по состоянию здоровья временно или постоянно не могут посещать общеобразовательные организации, организовано обучение на дому.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соответствии с заключением врачебной комиссии и заявлением родителей (законных представителей) всего на дому обучаются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98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детей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с ОВЗ (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в 202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4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году –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72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 обучающихся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2023 году – 62 ребенка, в 2022 году – 62 ребенк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а, </w:t>
        <w:br/>
        <w:t xml:space="preserve">в 2021 году – 86 обучающихся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году в городе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1 553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выпускник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11-х классов были допущены </w:t>
        <w:br/>
        <w:t xml:space="preserve">к прохождению государственной итоговой аттестации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1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482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человек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2023 год – 1 377 человек)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, в том числе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человек из числа детей </w:t>
        <w:br/>
        <w:t xml:space="preserve">с ОВЗ, детей-инвалидов.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Общее количество участников ЕГЭ, набравших от 80 до 99 баллов,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в 2025 году составило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35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 человек 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22,6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%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29,8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, 2023 год – 38,5%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).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Количество выпускников, набравших на ЕГЭ 100 баллов –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человек по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учебным предметам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человек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2023 год – 11 человек).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Медаль с отличием "За особые успехи в учении" 1 степени вручена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106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выпускникам 11-х классов, медаль с отличием "За особые успехи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в учении" 2 степени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80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выпускникам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225,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3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12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Аттестат с отличием в 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году получили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139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евятиклассников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год – 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55, 2023 год – 138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школах города занято 3 350 работников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2024 году – 3 353 работника,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2023 году – 3481 работник, в 2022 году – 3 506 работников), из них педагогические работники составляют 2 155 человек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2024 год –2 144 человека,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2023 год –2 041 человек, 2022 год – 2 025 человек).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Подведомственные общеобразовательные организации на достаточном уровне оснащены материально-техническим обеспечением: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100% </w:t>
      </w:r>
      <w:r>
        <w:rPr>
          <w:rFonts w:ascii="Times New Roman" w:hAnsi="Times New Roman"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удельный вес числа организаций, имеющих водоснабжение, центральное отопление, канализацию, в общем числе общеобразовательных организаций;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100% общеобразовательных организаций имеют физкультурные залы;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51% общеобразовательная организация имеет плавательные бассейны;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100% общеобразовательных организаций обеспечены Интернет-соединением со скоростью не менее 100 Мб/с;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100% общеобразовательных организаций созданы условия для беспрепятственного доступа инвалидов;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25 персональных компьютера, используемых в учебных целях, приходятся в расчете на 100 учащихся общеобразовательных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организаций,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 </w:t>
        <w:br/>
        <w:t xml:space="preserve">из них 15 подключены к сети Интернет.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Зданий общеобразовательных организаций, находящихся в аварийном состоянии, нет.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Два здания (МБОУ «Средняя школа №2-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многопрофильная им. Е.И. Куропаткина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расположенная по адресу: ул. Омская, д. 16а,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и МБОУ 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Средняя школа №6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расположенная по адресу: проспект Победы, д. 3б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) в форме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федерального статистического наблюдения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№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ОО-2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стоят как объекты, требующие капитального ремонта.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100% общеобразовательных организаций имеют охрану.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В 2025 году общий объем финансирования на общее образование составил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17,14 млрд руб.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2024 год – 16,66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млрд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 руб.,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2023 год – 14,00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млрд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 руб.),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в том числе в расче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те на одного обучающегося – 220,83 тыс. рублей,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исходя из среднегодовой численности обучающихся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2024 год – 205,38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рублей,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2023 год – 181,95 тыс. рублей).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Удельный вес численности обучаю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щихся в первую смену в общей численности обучающихся по образовательным программам начального общего, основного общего, среднего общего образования по очной форме обучения составил 8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%.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1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муниципальных общеобразовательных организациях обучались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br/>
        <w:t xml:space="preserve">во вторую смену 5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403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школьников (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год – 5 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26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 человека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2023 год – 5 386 человек, 2022 год – 5 954 человека). Проектная мощность учреждений не позволила организовать образовательный процесс в одну смену для всех обучающихся.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2.1.3. В муниципальной системе образования созданы условия для обеспечения прав граждан на получение бесплатного дополнительного образования детей независимо от места проживания детей и социального статуса семей.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Дополнительное образование предоставляют 2 организации дополнительного образования, подведомственные департаменту образования: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"Центр детского творчества";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муниципальное бюджетное учреждение дополнительного образования "Центр детского и юношеского технического творчества "Патриот".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Дополнительное образование в сфере культуры в городе Нижневартовске (далее – ДШИ) предоставляют 4 учреждения: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"Детская школа искусств № 1";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"Детская школа искусств № 2";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"Детская школа искусств № 3";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"Детская музыкальная школа имени Юрия Дмитриевича Кузнецова".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Дополнительное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образование в сфере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  <w:t xml:space="preserve">физической культуры и спорта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городе Нижневартовске предоставляют 3 учреждения: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851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"Спортивная школа";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851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"Спортивная школа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олимпийского резерва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";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851"/>
        <w:jc w:val="both"/>
        <w:spacing w:after="0" w:line="240" w:lineRule="auto"/>
        <w:rPr>
          <w:color w:val="00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муниципальное автономное учреждение дополнительного образования города Нижневартовска "Спортивная школа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олимпийского резерва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Самотлор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".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Доля детей в возрасте от 5 до 18 лет, охваченных услугами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дополнительного образования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учреждениями дополнительного образования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– 53% или 26 566 детей (2024 год – 50,65%, 25 706 человек).</w:t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мероприятиях, направленных на развитие индивидуальных способностей, поддержку детской одаренности и социальной успешности обучающихся и воспитанников, приняли участие более 32 тыс. детей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br/>
        <w:t xml:space="preserve">и подростков.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  <w:shd w:val="clear" w:color="ffffff" w:themeColor="background1" w:fill="ffffff" w:themeFill="background1"/>
        <w:rPr>
          <w:color w:val="ff0000" w:themeColor="text1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организациях, подведомственных департаменту образования о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бу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чалось 10 645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обучающихся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(2024 год – 10 077 обучающихся, 2023 год – 9600 обучающихся),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том числе 549 детей (2024 год – 503 ребенка)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с ограниченными возможностями здоровья.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2025 году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действовало 668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объединений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дополнительного образования, в которых реализованы программы различной направленности:</w:t>
      </w:r>
      <w:r>
        <w:rPr>
          <w:color w:val="ff0000" w:themeColor="text1"/>
          <w:highlight w:val="none"/>
        </w:rPr>
      </w:r>
      <w:r>
        <w:rPr>
          <w:color w:val="ff0000" w:themeColor="text1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технической;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физкультурно-спортивной;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художественной;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естественнонаучной;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социально-гуманитарной;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- туристско-краеведческой.</w:t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ff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Анализ динамики развития учреждений дополнительного образования сферы культуры, подведомственных департаменту по социальной политике администрации города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ar-SA"/>
        </w:rPr>
        <w:t xml:space="preserve">(далее – ДШИ)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свидетельствует о том, ч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то художественное образование детей в Нижневартовске выполняет образовательные запросы населения, стабильно сохраняя свои основные параметры деятельности и по ряду позиций активно развивается, инициируя прогрессивные начинания. Доступность предоставления д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ополнительного образования определяется наличием бюджетных мест.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В 2025 году в ДШ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И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Нижневартовска обучалось </w:t>
      </w:r>
      <w:r>
        <w:rPr>
          <w:rStyle w:val="1186"/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vertAlign w:val="baseline"/>
          <w:lang w:eastAsia="ru-RU"/>
        </w:rPr>
        <w:t xml:space="preserve">5432</w:t>
      </w:r>
      <w:r>
        <w:rPr>
          <w:rStyle w:val="1186"/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footnoteReference w:id="4"/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 человека, из них: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за счет средств бюджета</w:t>
      </w:r>
      <w:r>
        <w:rPr>
          <w:rFonts w:ascii="Times New Roman" w:hAnsi="Times New Roman" w:eastAsia="Calibri" w:cs="Times New Roman"/>
          <w:bCs/>
          <w:iCs/>
          <w:color w:val="ff0000"/>
          <w:sz w:val="28"/>
          <w:szCs w:val="28"/>
          <w:highlight w:val="white"/>
        </w:rPr>
        <w:br/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города </w:t>
      </w:r>
      <w:r>
        <w:rPr>
          <w:rFonts w:ascii="Times New Roman" w:hAnsi="Times New Roman" w:eastAsia="Calibri" w:cs="Times New Roman"/>
          <w:bCs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</w:rPr>
        <w:t xml:space="preserve"> 3435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 человек</w:t>
      </w:r>
      <w:r>
        <w:rPr>
          <w:rFonts w:ascii="Times New Roman" w:hAnsi="Times New Roman" w:eastAsia="Calibri" w:cs="Times New Roman"/>
          <w:bCs/>
          <w:color w:val="auto"/>
          <w:sz w:val="28"/>
          <w:szCs w:val="28"/>
          <w:highlight w:val="white"/>
        </w:rPr>
        <w:t xml:space="preserve">, на внебюджетных местах – 1997 человек. 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Охват детей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br/>
        <w:t xml:space="preserve">в возрасте 5-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18 лет дополнительными образовательными программами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br/>
        <w:t xml:space="preserve">в области искусств в общей численности детей (5-18 лет) в 2025 году составил 10,6%</w:t>
      </w:r>
      <w:r>
        <w:rPr>
          <w:rStyle w:val="1186"/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footnoteReference w:id="5"/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iCs/>
          <w:color w:val="ff0000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Охват детей и подростков, получающих услуги дополнительного образования в ДШИ Нижневартовска, вырос за пять лет на 3,3%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t xml:space="preserve">В 2025 году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98,3% контингента обучающихся ДШИ в рамках муниципального задания занималась по 10 предпрофессиональным программам в области музыкального, хореографического, театрального, изобразительного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и декоративно-прикладного искусства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(с учетом сроков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обучения и разницы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вариативной части предпрофессиональных программ</w:t>
      </w:r>
      <w:r>
        <w:rPr>
          <w:rFonts w:ascii="Times New Roman" w:hAnsi="Times New Roman"/>
          <w:bCs/>
          <w:iCs/>
          <w:color w:val="auto"/>
          <w:sz w:val="28"/>
          <w:szCs w:val="28"/>
        </w:rPr>
        <w:t xml:space="preserve"> – 62 программы).</w:t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undefined" w:hAnsi="undefined" w:cs="undefined"/>
          <w:i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В отчетный период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удельный вес численности обучающихся ДШИ, за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нимающихся с использованием сетевых форм реализации дополнительных образовательных программ в общей численности обучающихся ДШИ составил 0,8% (41 человек):</w:t>
      </w:r>
      <w:r>
        <w:rPr>
          <w:rFonts w:ascii="Times New Roman" w:hAnsi="Times New Roman" w:eastAsia="Times New Roman" w:cs="Times New Roman"/>
          <w:color w:val="ff0000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на основании договоров с ФГБОУ ВО "Нижневартовский государственный университет"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в сетевой форме реал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изуется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дополнительная предпрофессиональная программа в области декоративно-прикладного искусства "Декоративно-прикладное творчество"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(ДШИ №3) и 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дополнительная предпрофессиональная программа в области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изобразительного искусства "Живопись"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(ДШИ №1).</w:t>
      </w:r>
      <w:r>
        <w:rPr>
          <w:rFonts w:ascii="undefined" w:hAnsi="undefined" w:cs="undefined"/>
          <w:iCs/>
          <w:color w:val="auto"/>
          <w:sz w:val="28"/>
          <w:szCs w:val="28"/>
          <w:highlight w:val="white"/>
        </w:rPr>
      </w:r>
      <w:r>
        <w:rPr>
          <w:rFonts w:ascii="undefined" w:hAnsi="undefined" w:cs="undefined"/>
          <w:iCs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С целью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реализации доступности художественного образования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br/>
        <w:t xml:space="preserve">для детей с особыми потребностями в ДШИ города обеспечивали дополнительные адаптированные программы в области искусств.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Удельный вес численности детей с ограниченными возможностями здоровья в общей числен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ности обучающихся в ДШИ в отчетный период составил 0,3%,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br/>
        <w:t xml:space="preserve">детей-инвалидов -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t xml:space="preserve">1,2%.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iCs/>
          <w:color w:val="auto"/>
        </w:rPr>
      </w:pP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Востребованность дополнительного образования в ДШИ у жителей города остается на высоком уровне, количество желающих поступить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br/>
        <w:t xml:space="preserve">на обучение ежегодно растет: конкурс на предпрофе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ссиональные программы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br/>
        <w:t xml:space="preserve">в области искусств в 2025 году составил более 2 человек на место.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 В отчетный период 15,1% выпускников ДШИ Нижневартовска продолжили обучение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br/>
        <w:t xml:space="preserve">в профильных образовательных организациях сферы культуры среднего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br/>
        <w:t xml:space="preserve">и высшего образования, из н</w:t>
      </w:r>
      <w:r>
        <w:rPr>
          <w:rFonts w:ascii="Times New Roman" w:hAnsi="Times New Roman" w:eastAsia="Calibri" w:cs="Times New Roman"/>
          <w:bCs/>
          <w:iCs/>
          <w:color w:val="auto"/>
          <w:sz w:val="28"/>
          <w:szCs w:val="28"/>
          <w:highlight w:val="white"/>
        </w:rPr>
        <w:t xml:space="preserve">их 13,5% выпускники предпрофессиональных программ.</w:t>
      </w:r>
      <w:r>
        <w:rPr>
          <w:iCs/>
          <w:color w:val="auto"/>
        </w:rPr>
      </w:r>
      <w:r>
        <w:rPr>
          <w:iCs/>
          <w:color w:val="auto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i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Во исполнение Указа Президента Российской Федерации от 07.05.2024 №309 "О национальных целях развития Российской Федерации на период</w:t>
        <w:br/>
        <w:t xml:space="preserve">до 2030 года и на перспективу до 2036 года" в Нижневартовске реализуется комплекс мер, направленный на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развитие творческого потенциала обучающихся ДШИ.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На муниципальном уровне сформирована система выявления и поддержки одаренных детей в области искусств, нацеленная</w:t>
        <w:br/>
        <w:t xml:space="preserve">на повышение мотивации обучающихся, развитие их способностей и раннюю профессиональную ориентацию.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Распоряжением администраци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и города</w:t>
        <w:br/>
        <w:t xml:space="preserve">от 20.03.2025 №169-р ежегодной премией "Юные таланты Самотлора" награждены 12 обучающихся ДШИ, проявивших выдающиеся способности</w:t>
        <w:br/>
        <w:t xml:space="preserve">в учебе и творческих мероприятиях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i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iCs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Результаты работы ДШИ города находят свое подтверждение в итогах конкурсов и фестив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алей, где обучающиеся демонстрируют высокий уровень достижений. Творческие коллективы и отдельные исполнители ДШИ в 2025 году достойно представили город 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577 конкурсах и фестивалях различного уровня, завоевав 2 695 призовых мест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Доля обучающихся ДШИ города, привлеченных к участию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br/>
        <w:t xml:space="preserve">в творческих мероприятиях 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международного, всероссийского и регионального значения в 2025 году составила: от числа обучающихся в рамках муниципального задания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 – 56%;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т обще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го числа обучающихся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br/>
        <w:t xml:space="preserve">ДШИ – 43% (в 2024 году 45,4% и 35,6% соответственно).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В отчетный период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1480 обучающихся ДШИ приняли участие во всероссийских и международных конкурсах,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1409 из них стали призерами  – на 17% выше в сравнении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с 2024 годом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(1291 участ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ник, 1202 призера).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ff0000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В 2025 году в спортивных школах города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Нижневартовска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обучалось </w:t>
        <w:br/>
      </w:r>
      <w:r>
        <w:rPr>
          <w:rStyle w:val="1186"/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vertAlign w:val="baseline"/>
          <w:lang w:eastAsia="ru-RU"/>
        </w:rPr>
        <w:t xml:space="preserve">10 509</w:t>
      </w:r>
      <w:r>
        <w:rPr>
          <w:rStyle w:val="1186"/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footnoteReference w:id="6"/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человек,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из них: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за счет средств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бюджета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города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9125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человека (86,83%)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, на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внебюджетных местах –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1384 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человек (13,17%)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  <w:highlight w:val="white"/>
        </w:rPr>
        <w:t xml:space="preserve">. 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Охват детей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 </w:t>
        <w:br/>
        <w:t xml:space="preserve">в возрасте 5-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18 лет дополнительными образовательными программами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 </w:t>
        <w:br/>
        <w:t xml:space="preserve">в области физической культуры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 и спорта в общей численности детей </w:t>
        <w:br/>
        <w:t xml:space="preserve">(5-18 лет) в 2025 году составил 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20,7</w:t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%</w:t>
      </w:r>
      <w:r>
        <w:rPr>
          <w:rStyle w:val="1186"/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footnoteReference w:id="7"/>
      </w: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В 2025 году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обучающиеся в спортивных школах в рамках муниципального задания занимались по 46 образовательным программам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спортивной подготовки.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С целью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организации доступности спортивной подготовки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для детей </w:t>
        <w:br/>
        <w:t xml:space="preserve">с особыми потребностями спортивные школы города обеспечивали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реализацию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дополнительных образовательных программ по адаптивной физической культуре и адаптивному спорту. Удельный вес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численности детей </w:t>
        <w:br/>
        <w:t xml:space="preserve">с ограниченными возможностями здоровья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в общей числен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ности обучающихся в спортивных школах в отчетный период составил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2,34% </w:t>
        <w:br/>
        <w:t xml:space="preserve">(246 чел.)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</w:pP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Востребованность дополнительного образования в сфере фи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зической культуры и спорта у жителей города остается на высоком уровне. Количество желающих поступить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на обучение ежегодно растет: конкурс на различные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программы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спортивной подготовки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 в 2025 году с</w:t>
      </w:r>
      <w:r>
        <w:rPr>
          <w:rFonts w:ascii="Times New Roman" w:hAnsi="Times New Roman" w:eastAsia="Calibri" w:cs="Times New Roman"/>
          <w:bCs/>
          <w:iCs/>
          <w:color w:val="000000" w:themeColor="text1"/>
          <w:sz w:val="28"/>
          <w:szCs w:val="28"/>
          <w:highlight w:val="white"/>
        </w:rPr>
        <w:t xml:space="preserve">оставил более 2 человек </w:t>
        <w:br/>
        <w:t xml:space="preserve">на место. </w:t>
      </w:r>
      <w:r/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color w:val="181818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iCs/>
          <w:color w:val="000000" w:themeColor="text1"/>
          <w:sz w:val="28"/>
          <w:szCs w:val="28"/>
          <w:highlight w:val="white"/>
          <w:lang w:eastAsia="ar-SA"/>
        </w:rPr>
        <w:t xml:space="preserve">Во исполнение Указа Президента Российской Федерации от 21.07.2020 №474 "О национальн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ых целях развития Российской Федерации на период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br/>
        <w:t xml:space="preserve">до 2030 года" в Нижневартовске в отчетный период реализован комплекс мер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br/>
        <w:t xml:space="preserve">по выявлению и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сопровождению одаренных обучающихся. Спортивными школами сформирована система выявления и поддержки одаренных детей </w:t>
        <w:br/>
        <w:t xml:space="preserve">в сфере физической культуры и спорта. 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Организована работа по проведению тестирования детей на аппаратно-программном комплексе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Стань чемпионом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, с целью выявления предрасположенности детей к занятию определенным видом спорта.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 По итогам проводимого тестирования детей </w:t>
        <w:br/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white"/>
        </w:rPr>
        <w:t xml:space="preserve">в возрасте от 5,5 лет до 12 лет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white"/>
        </w:rPr>
        <w:t xml:space="preserve"> большинство из них зачисляются в спортивные секции учреждений спорта именно в соответствии с полученными рекомендациями.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 спортивных школах формируются</w:t>
      </w:r>
      <w:r>
        <w:rPr>
          <w:rFonts w:ascii="Times New Roman" w:hAnsi="Times New Roman" w:eastAsia="Tinos" w:cs="Times New Roman"/>
          <w:sz w:val="28"/>
          <w:szCs w:val="28"/>
        </w:rPr>
        <w:t xml:space="preserve"> базы данных одаренных детей</w:t>
      </w:r>
      <w:r>
        <w:rPr>
          <w:rFonts w:ascii="Times New Roman" w:hAnsi="Times New Roman" w:eastAsia="Tinos" w:cs="Times New Roman"/>
          <w:sz w:val="28"/>
          <w:szCs w:val="28"/>
        </w:rPr>
        <w:t xml:space="preserve">, включающие информацию о результатах тестирования, спортивных достижениях и индивидуальных особенностях детей (более 2500).</w:t>
      </w:r>
      <w:r>
        <w:rPr>
          <w:rFonts w:ascii="Times New Roman" w:hAnsi="Times New Roman" w:cs="Times New Roman"/>
          <w:color w:val="181818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181818"/>
          <w:sz w:val="28"/>
          <w:szCs w:val="28"/>
          <w:highlight w:val="none"/>
        </w:rPr>
      </w:r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Сложившаяся</w:t>
      </w:r>
      <w:r>
        <w:rPr>
          <w:rFonts w:ascii="Times New Roman" w:hAnsi="Times New Roman" w:eastAsia="Tinos" w:cs="Times New Roman"/>
          <w:sz w:val="28"/>
          <w:szCs w:val="28"/>
        </w:rPr>
        <w:t xml:space="preserve"> </w:t>
      </w:r>
      <w:r>
        <w:rPr>
          <w:rFonts w:ascii="Times New Roman" w:hAnsi="Times New Roman" w:eastAsia="Tinos" w:cs="Times New Roman"/>
          <w:sz w:val="28"/>
          <w:szCs w:val="28"/>
        </w:rPr>
        <w:t xml:space="preserve">в спортивных школах</w:t>
      </w:r>
      <w:r>
        <w:rPr>
          <w:rFonts w:ascii="Times New Roman" w:hAnsi="Times New Roman" w:eastAsia="Tinos" w:cs="Times New Roman"/>
          <w:sz w:val="28"/>
          <w:szCs w:val="28"/>
        </w:rPr>
        <w:t xml:space="preserve"> система </w:t>
      </w:r>
      <w:r>
        <w:rPr>
          <w:rFonts w:ascii="Times New Roman" w:hAnsi="Times New Roman" w:eastAsia="Tinos" w:cs="Times New Roman"/>
          <w:sz w:val="28"/>
          <w:szCs w:val="28"/>
        </w:rPr>
        <w:t xml:space="preserve">мотивации </w:t>
        <w:br/>
        <w:t xml:space="preserve">и стимулирования</w:t>
      </w:r>
      <w:r>
        <w:rPr>
          <w:rFonts w:ascii="Times New Roman" w:hAnsi="Times New Roman" w:eastAsia="Tinos" w:cs="Times New Roman"/>
          <w:sz w:val="28"/>
          <w:szCs w:val="28"/>
        </w:rPr>
        <w:t xml:space="preserve"> для одаренных детей направлена на достижение высоких спортивных результатов и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 раскрытие имеющегося потенциала</w:t>
      </w: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, к ней относятся следующие элементы: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включение ведущих спортсменов в состав сборных команд города, округа, России;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обеспечение спортсменов сборных команд высококачественной индивидуальной спортивной экипировкой и инвентарем;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color w:val="181818"/>
          <w:sz w:val="28"/>
          <w:szCs w:val="28"/>
          <w:highlight w:val="none"/>
        </w:rPr>
        <w:t xml:space="preserve">- обеспечение участия в </w:t>
      </w: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выездных учебно-тренировочных мероприятиях </w:t>
        <w:br/>
        <w:t xml:space="preserve">в течении спортивного сезона;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участие в лагерях с дневным пребыванием детей в каникулярный период;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организация летнего отдыха;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полноценное медицинское обеспечение, включая медицинскую реабилитацию при получении спортивных травм;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предоставление возможности получения окружной стипендии, с целью финансового стимулирования спортсменов;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предоставление возможности участия в городском и окружном конкурсе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Спортивная элита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;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- в городе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возведен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Сквер спортивной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славы Нижневартовска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открыто 69 именных звезд. 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  <w:t xml:space="preserve">Спортсмены, чьи звезд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открыт</w:t>
      </w:r>
      <w:r>
        <w:rPr>
          <w:rFonts w:ascii="Times New Roman" w:hAnsi="Times New Roman" w:cs="Times New Roman"/>
          <w:sz w:val="28"/>
          <w:szCs w:val="28"/>
        </w:rPr>
        <w:t xml:space="preserve">ы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квере спортивной славы,</w:t>
      </w:r>
      <w:r>
        <w:rPr>
          <w:rFonts w:ascii="Times New Roman" w:hAnsi="Times New Roman" w:cs="Times New Roman"/>
          <w:sz w:val="28"/>
          <w:szCs w:val="28"/>
        </w:rPr>
        <w:t xml:space="preserve"> являются ярким ориентиром и примером для подражания. </w:t>
      </w:r>
      <w:r>
        <w:rPr>
          <w:rFonts w:ascii="Times New Roman" w:hAnsi="Times New Roman" w:cs="Times New Roman"/>
          <w:sz w:val="28"/>
          <w:szCs w:val="28"/>
        </w:rPr>
        <w:t xml:space="preserve">В</w:t>
      </w:r>
      <w:r>
        <w:rPr>
          <w:rFonts w:ascii="Times New Roman" w:hAnsi="Times New Roman" w:cs="Times New Roman"/>
          <w:sz w:val="28"/>
          <w:szCs w:val="28"/>
        </w:rPr>
        <w:t xml:space="preserve">озможность открыть свою именную звезду </w:t>
      </w:r>
      <w:r>
        <w:rPr>
          <w:rFonts w:ascii="Times New Roman" w:hAnsi="Times New Roman" w:cs="Times New Roman"/>
          <w:sz w:val="28"/>
          <w:szCs w:val="28"/>
        </w:rPr>
        <w:t xml:space="preserve">для молодых спортсменов</w:t>
      </w:r>
      <w:r>
        <w:rPr>
          <w:rFonts w:ascii="Times New Roman" w:hAnsi="Times New Roman" w:cs="Times New Roman"/>
          <w:sz w:val="28"/>
          <w:szCs w:val="28"/>
        </w:rPr>
        <w:t xml:space="preserve"> является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ополнительной мотивацией в спортивной подготовке.</w:t>
      </w:r>
      <w:r/>
    </w:p>
    <w:p>
      <w:pPr>
        <w:ind w:left="0" w:right="-6" w:firstLine="708"/>
        <w:jc w:val="both"/>
        <w:spacing w:before="0" w:after="14" w:line="240" w:lineRule="auto"/>
        <w:shd w:val="clear" w:color="ffffff" w:fill="ffffff"/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nos" w:cs="Times New Roman"/>
          <w:sz w:val="28"/>
          <w:szCs w:val="28"/>
          <w:highlight w:val="none"/>
        </w:rPr>
        <w:t xml:space="preserve">В городе 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с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оздана система замкнутой функциональной связи для молодёжи занимающейся спортом</w:t>
      </w:r>
      <w:r>
        <w:rPr>
          <w:rFonts w:ascii="Times New Roman" w:hAnsi="Times New Roman" w:cs="Times New Roman"/>
          <w:b w:val="0"/>
          <w:bCs w:val="0"/>
          <w:i w:val="0"/>
          <w:iCs w:val="0"/>
          <w:sz w:val="28"/>
          <w:szCs w:val="28"/>
          <w:highlight w:val="white"/>
        </w:rPr>
        <w:t xml:space="preserve">: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 это означает что спортсмен, проявляющий себя в трудолюбии, показывающий высокий спортивный результат, обеспечен соревнованиями, тренировочными сборами, спорти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вной формой, медиц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инским сопровождением, возможностью учиться в высшем и средне-специальном учебном заведении (факультет физической культуры и спорта), проходить практику в учреждениях спорта и в конечном итоге быть трудоустроенным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в соответствии с полученным образованием.</w:t>
      </w:r>
      <w:r>
        <w:rPr>
          <w:rFonts w:ascii="Times New Roman" w:hAnsi="Times New Roman" w:cs="Times New Roman"/>
          <w:i/>
          <w:iCs/>
          <w:sz w:val="28"/>
          <w:szCs w:val="28"/>
          <w:highlight w:val="yellow"/>
        </w:rPr>
        <w:t xml:space="preserve"> </w:t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  <w:r>
        <w:rPr>
          <w:rFonts w:ascii="Times New Roman" w:hAnsi="Times New Roman" w:cs="Times New Roman"/>
          <w:bCs w:val="0"/>
          <w:i w:val="0"/>
          <w:sz w:val="28"/>
          <w:szCs w:val="28"/>
          <w:highlight w:val="white"/>
        </w:rPr>
      </w:r>
    </w:p>
    <w:p>
      <w:pPr>
        <w:pStyle w:val="1219"/>
        <w:ind w:left="0" w:firstLine="720"/>
        <w:jc w:val="both"/>
        <w:spacing w:after="0"/>
        <w:widowControl w:val="off"/>
        <w:tabs>
          <w:tab w:val="clear" w:pos="7143" w:leader="none"/>
          <w:tab w:val="clear" w:pos="14287" w:leader="none"/>
        </w:tabs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организации безопасных организованных перевозок спортсменов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осуществлении городских и междугородних поездок спортсменов для участия в спортивных соревнованиях и учебно-тренировочных мероприятиях </w:t>
      </w:r>
      <w:r>
        <w:rPr>
          <w:rFonts w:ascii="Times New Roman" w:hAnsi="Times New Roman" w:cs="Times New Roman"/>
          <w:sz w:val="28"/>
          <w:szCs w:val="28"/>
        </w:rPr>
        <w:t xml:space="preserve">используется автомобильный транспорт спортивных школ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709" w:leader="none"/>
        </w:tabs>
        <w:rPr>
          <w:highlight w:val="white"/>
        </w:rPr>
      </w:pPr>
      <w:r>
        <w:rPr>
          <w:rFonts w:ascii="Times New Roman" w:hAnsi="Times New Roman" w:eastAsia="SimSun"/>
          <w:sz w:val="28"/>
          <w:szCs w:val="28"/>
          <w:highlight w:val="white"/>
          <w:lang w:eastAsia="ar-SA"/>
        </w:rPr>
        <w:t xml:space="preserve">В 202</w:t>
      </w:r>
      <w:r>
        <w:rPr>
          <w:rFonts w:ascii="Times New Roman" w:hAnsi="Times New Roman" w:eastAsia="SimSun"/>
          <w:sz w:val="28"/>
          <w:szCs w:val="28"/>
          <w:highlight w:val="white"/>
          <w:lang w:eastAsia="ar-SA"/>
        </w:rPr>
        <w:t xml:space="preserve">5</w:t>
      </w:r>
      <w:r>
        <w:rPr>
          <w:rFonts w:ascii="Times New Roman" w:hAnsi="Times New Roman" w:eastAsia="SimSun"/>
          <w:sz w:val="28"/>
          <w:szCs w:val="28"/>
          <w:highlight w:val="white"/>
          <w:lang w:eastAsia="ar-SA"/>
        </w:rPr>
        <w:t xml:space="preserve"> году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в целях развития сети спортивных объектов города </w:t>
      </w:r>
      <w:r>
        <w:rPr>
          <w:rFonts w:ascii="Times New Roman" w:hAnsi="Times New Roman"/>
          <w:spacing w:val="1"/>
          <w:sz w:val="28"/>
          <w:szCs w:val="28"/>
          <w:highlight w:val="white"/>
        </w:rPr>
        <w:t xml:space="preserve">проведены мероприятия</w:t>
      </w:r>
      <w:r>
        <w:rPr>
          <w:rFonts w:ascii="Times New Roman" w:hAnsi="Times New Roman"/>
          <w:spacing w:val="1"/>
          <w:sz w:val="28"/>
          <w:szCs w:val="28"/>
          <w:highlight w:val="white"/>
        </w:rPr>
        <w:t xml:space="preserve"> по созданию и модернизации плоскостных спортивных сооружений: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- установлена многофункциональная спортивная площадка в Центре лыжного спорта со специализированным биатлонным стрельбищем в спортивно-оздоровительном комплексе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Радуга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- произведена реконструкция многофункциональной спортивной площадки по адресу ул. Омская 22а (установлены тренажеры для маломобильных групп населения под навесом, гимнастический комплекс);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567"/>
        <w:jc w:val="both"/>
        <w:spacing w:after="0" w:line="240" w:lineRule="auto"/>
        <w:rPr>
          <w:rFonts w:ascii="Times New Roman" w:hAnsi="Times New Roman"/>
          <w:color w:val="000000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- на крытом тренировочном хоккейном корте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Ледовый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заменены </w:t>
        <w:br/>
        <w:t xml:space="preserve">и установлены новые современные хоккейные борта, а за ним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произведена замена двух комплектов хоккейных кортов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 целью улучшения условий организации учебно-тренировочного процесса.</w:t>
      </w:r>
      <w:r>
        <w:rPr>
          <w:rFonts w:ascii="Times New Roman" w:hAnsi="Times New Roman"/>
          <w:color w:val="000000"/>
          <w:highlight w:val="white"/>
        </w:rPr>
      </w:r>
      <w:r>
        <w:rPr>
          <w:rFonts w:ascii="Times New Roman" w:hAnsi="Times New Roman"/>
          <w:color w:val="000000"/>
          <w:highlight w:val="white"/>
        </w:rPr>
      </w:r>
    </w:p>
    <w:p>
      <w:pPr>
        <w:pStyle w:val="1219"/>
        <w:ind w:left="0" w:firstLine="720"/>
        <w:jc w:val="both"/>
        <w:spacing w:after="0"/>
        <w:widowControl w:val="off"/>
        <w:rPr>
          <w:rFonts w:ascii="Times New Roman" w:hAnsi="Times New Roman" w:eastAsia="SimSun" w:cs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highlight w:val="none"/>
          <w14:ligatures w14:val="none"/>
        </w:rPr>
        <w:t xml:space="preserve">Обучающиеся обеспечиваются спортивным оборудованием, инвентарем и экипировкой в соответствии с требованиями федеральных стандартов спортивной подготовки по видам спорта.</w:t>
      </w:r>
      <w:r>
        <w:rPr>
          <w:rFonts w:ascii="Times New Roman" w:hAnsi="Times New Roman" w:eastAsia="SimSun" w:cs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  <w:r>
        <w:rPr>
          <w:rFonts w:ascii="Times New Roman" w:hAnsi="Times New Roman" w:eastAsia="SimSun" w:cs="Times New Roman"/>
          <w:b w:val="0"/>
          <w:bCs w:val="0"/>
          <w:i w:val="0"/>
          <w:color w:val="000000"/>
          <w:sz w:val="28"/>
          <w:szCs w:val="28"/>
          <w:highlight w:val="none"/>
          <w14:ligatures w14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Характеристика кадрового состава.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2025 году работу организаций дополнительного образования обеспечивал 559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педагогических работников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(средняя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численность пед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агогических работников без внешних совместителей). Оценивая кадровый потенциал педагогического состава, следует отметить высокий образовательный ценз преподавателей.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 организациях, подведомственных департаменту образования адм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инистрации города,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а конец отчетного периода работу учреждений дополнительного образования обеспечивали 136 педагогических работников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91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% педагогов дополнительного образования имеют высшее профессиональное образование, 9%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средне-специальное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 71,3% (2024 год 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ar-SA"/>
        </w:rPr>
        <w:t xml:space="preserve">73,5%) – имеют высшую и первую квалификационные категории (высшую - 71 чел./52,2%, первую - 26 чел./19%).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Премией Губернатора ХМАО — Югры в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номинации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Лучший педагог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дополнительного образования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награждена Шарафутдинова Оксана Викторовна, педагог дополнительного образования МАУ ДО г. Нижневартовска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"Центр детского творчества"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Звание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культурологии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имеет 1 человек,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почетное звание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Заслуженный учитель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– 1 человек,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нагрудным знаком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Почетный работник общего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образования 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награждены 9 человек;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нагрудным знаком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Почетный работник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воспитания и просвещения 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– 3 человека, нагрудным знаком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Почетный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работник сферы образования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Российской Федерации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– 6 человек.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6 человек награждены Почетной грамотой Министерства образования и науки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РФ, </w:t>
        <w:br/>
        <w:t xml:space="preserve">2 – Почетной грамотой Президента Российской Федерации, 1 Заслуженный работник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образования ХМАО,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7 человек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Ветераны труда РФ.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shd w:val="clear" w:color="ffffff" w:themeColor="background1" w:fill="ffffff" w:themeFill="background1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На конец отчетного периода работу ДШИ обеспечивали </w:t>
        <w:br/>
        <w:t xml:space="preserve">196 педагогических работников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79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,6%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меют высшее профессиональное образование,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20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,4%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средне-специальное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72,9%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меют высшую и первую ква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лификационные категории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Звание кандидат наук имеют 4 человека, Заслуженный художник РФ – 1 человек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, Почетный работник общего образования – 3 человека, Заслуженный деятель культуры ХМАО – Югры – 13 человек, Ветеран труда РФ – 7 человек, Ветеран труда ХМАО-Югры – 12 человек.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</w:r>
    </w:p>
    <w:p>
      <w:pPr>
        <w:contextualSpacing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 2025 году ежегодная мун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иципальная премия для преподавателей ДШИ Нижневартовска "Премия имени Юрия Дмитриевича Кузнецова" (утверждена постановлением администрации города Нижневартовска от 17.12.2010 №1439) вручена Кривых Елене Юрьевне</w:t>
      </w:r>
      <w:r>
        <w:rPr>
          <w:rFonts w:ascii="Times New Roman" w:hAnsi="Times New Roman"/>
          <w:color w:val="auto"/>
          <w:sz w:val="28"/>
          <w:szCs w:val="28"/>
          <w:highlight w:val="white"/>
          <w:lang w:eastAsia="ar-SA"/>
        </w:rPr>
        <w:t xml:space="preserve">, преподавателю </w:t>
      </w:r>
      <w:r>
        <w:rPr>
          <w:rFonts w:ascii="Times New Roman" w:hAnsi="Times New Roman"/>
          <w:color w:val="auto"/>
          <w:sz w:val="28"/>
          <w:szCs w:val="28"/>
          <w:highlight w:val="white"/>
          <w:lang w:eastAsia="ar-SA"/>
        </w:rPr>
        <w:t xml:space="preserve">МАУДО г. Нижневартовска "ДМШ им.Ю.Д.Кузнецова"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ar-SA"/>
        </w:rPr>
        <w:t xml:space="preserve">.</w:t>
      </w:r>
      <w:r>
        <w:rPr>
          <w:rFonts w:ascii="Times New Roman" w:hAnsi="Times New Roman" w:eastAsia="Times New Roman" w:cs="Times New Roman"/>
          <w:bCs/>
          <w:iCs/>
          <w:color w:val="auto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  <w:shd w:val="clear" w:color="ffffff" w:themeColor="background1" w:fill="ffffff" w:themeFill="background1"/>
        <w:rPr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В 2025 году работу спортивных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школ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обеспечивали 180 педагогических работников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91,7%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имеют высшее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профессиональное образование;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8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,3%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средне-спец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иальное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(в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2024 году 90,8% и 9,2% соответственно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;</w:t>
      </w:r>
      <w:r>
        <w:rPr>
          <w:rFonts w:ascii="Times New Roman" w:hAnsi="Times New Roman" w:eastAsia="Times New Roman" w:cs="Times New Roman"/>
          <w:color w:val="000000" w:themeColor="text1"/>
          <w:sz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72,8%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 имеют высшую и первую квалификационные к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атегории (в 2024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71%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)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before="100" w:beforeAutospacing="1" w:after="100" w:afterAutospacing="1" w:line="240" w:lineRule="auto"/>
        <w:rPr>
          <w:highlight w:val="whit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В 2025 году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курсы повышения квал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ификации прошли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75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тренеров-преподавателей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Показатели материально-технического и информационного обеспечения учреждений дополнительного образования в сравнении с 2024 годом стабильны.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Общая площадь всех помещений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орг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анизаций дополнительного образования, подведомственных департаменту образования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составляет </w:t>
        <w:br/>
        <w:t xml:space="preserve">11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275,4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кв.м.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Удельный вес числа учреждений дополнительного образования,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здания которых требуют капитального ремонта, в общем числе образовательных организаций дополнительного образования сферы образования составил 0%.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Число персональных компьютеров, используемых в учебных целях, в отчетный период составило 206 единиц, имеющих доступ к сети Интернет – 206 единиц.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 2025 году общий объем фина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нси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рования составил 463 966,91 тыс. р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уб. Общий объем финансовых средств, в расчете на одного обучающегося в 2025 году составил 43,66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тыс.</w:t>
      </w:r>
      <w:r>
        <w:rPr>
          <w:rFonts w:ascii="Times New Roman" w:hAnsi="Times New Roman" w:eastAsia="Times New Roman" w:cs="Times New Roman"/>
          <w:bCs/>
          <w:color w:val="ff0000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руб. Объем средств от приносящей доход деятельности (внебюджетных средств), п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оступивших в отчетный период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с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оставил 8 191,24 тыс.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р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уб. Удельный вес финансовых средств от приносящей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доход деятельности в общем объеме финансовых средств в 2025 году сос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тавил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1,77%.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Общая площадь всех помещений ДШИ не изменилась и составила </w:t>
        <w:br/>
        <w:t xml:space="preserve">12223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Удельный вес числа ДШИ, здания которых требуют капитального ремонта, в общем числе образовательных организаций дополнительного образования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eastAsia="ru-RU"/>
        </w:rPr>
        <w:t xml:space="preserve">сферы культуры составил 25% (МАУДО г. Нижневартовска "ДМШ им. Ю.Д. Кузнецова")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white"/>
          <w:lang w:eastAsia="ru-RU"/>
        </w:rPr>
        <w:t xml:space="preserve">Число персональных компьютеров, используемых в учебных целях, в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lang w:eastAsia="ru-RU"/>
        </w:rPr>
        <w:t xml:space="preserve">отчетный период составило 180 единиц, </w:t>
      </w:r>
      <w:r>
        <w:rPr>
          <w:rFonts w:ascii="Times New Roman" w:hAnsi="Times New Roman" w:eastAsia="Calibri" w:cs="Times New Roman"/>
          <w:color w:val="auto"/>
          <w:sz w:val="28"/>
          <w:szCs w:val="28"/>
          <w:highlight w:val="white"/>
        </w:rPr>
        <w:t xml:space="preserve">имеющих доступ к сет</w:t>
      </w:r>
      <w:r>
        <w:rPr>
          <w:rFonts w:ascii="Times New Roman" w:hAnsi="Times New Roman" w:eastAsia="Calibri" w:cs="Times New Roman"/>
          <w:color w:val="auto"/>
          <w:sz w:val="28"/>
          <w:szCs w:val="28"/>
          <w:highlight w:val="white"/>
        </w:rPr>
        <w:t xml:space="preserve">и Интернет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lang w:eastAsia="ru-RU"/>
        </w:rPr>
        <w:t xml:space="preserve"> - 178 единиц.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В 2025 году общий объем финансирования ДШИ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br/>
        <w:t xml:space="preserve">568 619,5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. Общий объем финансирования за 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лет увеличился в 1,2 раза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(в 2021 году общий объем финансирования составлял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457 2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30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тыс.руб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.). Общий объем финансовых средств,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в расчете на одного обучающегося в 2025 году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104,680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тыс.ру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б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Объем средств от приносящей доход деятельности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(внебюджетных средств), поступивших в ДШИ в отчетный период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16 817,6 тыс. руб.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Удельный вес финансовых средств от приносящей дохо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д деятельности в общем объеме финансовых средств ДШИ в 2025 году составил 3,4%.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14:ligatures w14:val="none"/>
        </w:rPr>
      </w:r>
    </w:p>
    <w:p>
      <w:pPr>
        <w:contextualSpacing/>
        <w:ind w:left="0" w:right="0"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Общая площадь всех помещений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спортивных школ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составляет </w:t>
        <w:br/>
        <w:t xml:space="preserve">4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0351,5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кв.м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Удельный вес числа спортивных школ, здания ко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торых требуют капитального ремонта, в общем числе образовательных организаций дополнительного образования сферы культуры составил 0%.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lang w:eastAsia="ru-RU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В 2025 году общий объем финансирования спортивных школ составил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br/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1359412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тыс.руб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Общий объем финансовых средств,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 в расчете на одного обучающегося в 2025 году составил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129,4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тыс.руб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white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Объем средств </w:t>
        <w:br/>
        <w:t xml:space="preserve">от приносящей доход деятельности (внебюджетных средств), поступивших </w:t>
        <w:br/>
        <w:t xml:space="preserve">в спортивные школы в отчетный период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37 420 тыс. руб.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Удельный вес финансовых средств от приносящей дохо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д деятельности в общем объеме финансовых средств в 2025 году составил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2,75%.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contextualSpacing/>
        <w:ind w:firstLine="540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1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00 % организаций дополнительного образования имеют водоснабжение, центральное отопление и канализацию. В каждом учреждении созданы безопасные условия, соответствующие современным требованиям: имеются пожарные краны и рукава, пожарная сигнализация, дымовые 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извещатели</w:t>
      </w:r>
      <w:r>
        <w:rPr>
          <w:rFonts w:ascii="Times New Roman" w:hAnsi="Times New Roman" w:eastAsia="Times New Roman" w:cs="Times New Roman"/>
          <w:bCs/>
          <w:color w:val="000000" w:themeColor="text1"/>
          <w:sz w:val="28"/>
          <w:szCs w:val="28"/>
          <w:highlight w:val="none"/>
          <w:lang w:eastAsia="ru-RU"/>
        </w:rPr>
        <w:t xml:space="preserve">, "тре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вожная кнопка", охрана, система видеонаблюдения.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В 2025 году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общий объем финансирования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сост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авил 2 391 998,41 тыс. руб. (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2024 год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  <w:t xml:space="preserve">2 345 749,73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тыс. руб.) Общий объем финансовых средств, поступивших в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организации дополнительного образования, в расчете </w:t>
        <w:br/>
        <w:t xml:space="preserve">на одного обучающегося в 2025 году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составил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90,03 тыс. руб.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2024 год – </w:t>
        <w:br/>
        <w:t xml:space="preserve">92,26 тыс. руб.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Общий объем средств от приносящей доход деятельности (внебюджетных средств), поступивших в образовательные орган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изации дополнительного образования, реализующие дополнительные общеобразовательные программы, в отчетный период составил 62 428,84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тыс. руб.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 (2024 год – 60 723,6 тыс. руб.)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. Удельный вес финансовых средств </w:t>
        <w:br/>
        <w:t xml:space="preserve">от приносящей доход деятельности в общем объеме финансовых средств образовательных организаций дополнительного образования в отчетный период составил 2,61% (2024 год – 2,59%, 2023 год – 4,4%).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  <w:lang w:eastAsia="ru-RU"/>
        </w:rPr>
        <w:t xml:space="preserve">3. Выводы и заключения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ind w:firstLine="708"/>
        <w:spacing w:after="0" w:line="240" w:lineRule="auto"/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ab/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  <w:lang w:eastAsia="ru-RU"/>
        </w:rPr>
        <w:t xml:space="preserve">Выводы и заключения по результатам проведенного анализа состояния </w:t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  <w:lang w:eastAsia="ru-RU"/>
        </w:rPr>
        <w:br/>
        <w:t xml:space="preserve">и пер</w:t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  <w:lang w:eastAsia="ru-RU"/>
        </w:rPr>
        <w:t xml:space="preserve">спектив развития системы образования, которые должны содержать оценку результатов анализа за отчетный год и предложения по усилению результативности функционирования системы образования за счет повышения качества принимаемых для нее управленческих решений.</w:t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i/>
          <w:color w:val="auto"/>
          <w:sz w:val="24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Учитывая результаты анализа состояния и перспектив развития муниципальной системы образования в соответствии с разделами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br/>
        <w:t xml:space="preserve">и подразделами показателей мониторинга системы образования, можно сделать вывод о том, что в муниципальной системе образования созданы условия для обеспечения законодательно установленного права граждан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br/>
        <w:t xml:space="preserve">на получение на территории города Нижневартовска общего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br/>
        <w:t xml:space="preserve">и дополнительного образования.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Общее и дополнительное образование в 2025 году осуществлялось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br/>
        <w:t xml:space="preserve">в соответствии с требованиями нормативных правовых документов в сфере образования, а также правилами и нормами, регламентирующими деятельность по созданию условий для комплексной безопасности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br/>
        <w:t xml:space="preserve">и качественного осуществления образовательной деятельности.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Реализ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ru-RU"/>
        </w:rPr>
        <w:t xml:space="preserve">ация мероприятий, финансируемых в 2025 году в рамках муниципальных программ "Развитие образования города Нижневартовска", "Развитие социальной сферы города Нижневартовска", позволили обеспечить устойчивое развитие системы образования города Нижневартовска.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Style w:val="1207"/>
        <w:spacing w:line="240" w:lineRule="auto"/>
        <w:rPr>
          <w:rFonts w:eastAsia="Calibri"/>
          <w:color w:val="auto"/>
          <w:sz w:val="28"/>
          <w:szCs w:val="28"/>
          <w:highlight w:val="none"/>
        </w:rPr>
      </w:pPr>
      <w:r>
        <w:rPr>
          <w:rFonts w:eastAsia="Calibri"/>
          <w:color w:val="auto"/>
          <w:sz w:val="28"/>
          <w:szCs w:val="28"/>
          <w:highlight w:val="none"/>
          <w:lang w:eastAsia="ru-RU"/>
        </w:rPr>
        <w:t xml:space="preserve">О правильно выбранных приоритетных направлениях развития системы общего образования города Нижневартовска свидетельствуют достижения 2025 года:</w:t>
      </w:r>
      <w:r>
        <w:rPr>
          <w:rFonts w:eastAsia="Calibri"/>
          <w:color w:val="auto"/>
          <w:sz w:val="28"/>
          <w:szCs w:val="28"/>
          <w:highlight w:val="none"/>
        </w:rPr>
      </w:r>
      <w:r>
        <w:rPr>
          <w:rFonts w:eastAsia="Calibri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SimSun" w:cs="Times New Roman"/>
          <w:sz w:val="28"/>
          <w:szCs w:val="28"/>
          <w:highlight w:val="white"/>
        </w:rPr>
      </w:pPr>
      <w:r>
        <w:rPr>
          <w:rFonts w:ascii="Times New Roman" w:hAnsi="Times New Roman" w:eastAsia="SimSun" w:cs="Times New Roman"/>
          <w:color w:val="auto"/>
          <w:sz w:val="28"/>
          <w:szCs w:val="28"/>
          <w:highlight w:val="white"/>
          <w:lang w:eastAsia="ar-SA"/>
        </w:rPr>
        <w:t xml:space="preserve">41</w:t>
      </w:r>
      <w:r>
        <w:rPr>
          <w:rFonts w:ascii="Times New Roman" w:hAnsi="Times New Roman" w:eastAsia="SimSun" w:cs="Times New Roman"/>
          <w:color w:val="auto"/>
          <w:sz w:val="28"/>
          <w:szCs w:val="28"/>
          <w:highlight w:val="white"/>
          <w:lang w:eastAsia="ar-SA"/>
        </w:rPr>
        <w:t xml:space="preserve"> пр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изов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ое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место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  <w:lang w:eastAsia="ru-RU"/>
        </w:rPr>
        <w:t xml:space="preserve">в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региональном этапе Всероссийской олимпиады школьников (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4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50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,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в 2023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61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, в 2022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43 призовых места);</w:t>
      </w:r>
      <w:r>
        <w:rPr>
          <w:rFonts w:ascii="Times New Roman" w:hAnsi="Times New Roman" w:eastAsia="SimSun" w:cs="Times New Roman"/>
          <w:sz w:val="28"/>
          <w:szCs w:val="28"/>
          <w:highlight w:val="white"/>
        </w:rPr>
      </w:r>
      <w:r>
        <w:rPr>
          <w:rFonts w:ascii="Times New Roman" w:hAnsi="Times New Roman" w:eastAsia="SimSu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SimSun" w:cs="Times New Roman"/>
          <w:sz w:val="28"/>
          <w:szCs w:val="28"/>
          <w:highlight w:val="none"/>
        </w:rPr>
      </w:pP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1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человек по предметам: русский язык, литература, информатика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, химия, биология, география, английский язык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набрали по результатам ЕГЭ 100 баллов (в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4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1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человек, 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3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11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человек, 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4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человек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а)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;</w:t>
      </w:r>
      <w:r>
        <w:rPr>
          <w:rFonts w:ascii="Times New Roman" w:hAnsi="Times New Roman" w:eastAsia="SimSun" w:cs="Times New Roman"/>
          <w:sz w:val="28"/>
          <w:szCs w:val="28"/>
          <w:highlight w:val="none"/>
        </w:rPr>
      </w:r>
      <w:r>
        <w:rPr>
          <w:rFonts w:ascii="Times New Roman" w:hAnsi="Times New Roman" w:eastAsia="SimSu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SimSun" w:cs="Times New Roman"/>
          <w:sz w:val="28"/>
          <w:szCs w:val="28"/>
          <w:highlight w:val="none"/>
        </w:rPr>
      </w:pP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1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06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выпускников 11 классов окончили муниципальную общеобразовательную организацию с отличием и получили медаль "За особые успехи в обучении" I степени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, 80 выпускников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медаль с отличием "За особые успехи в учении" 2 степени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,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(в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4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225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выпускников, в 202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3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году –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120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выпускников);</w:t>
      </w:r>
      <w:r>
        <w:rPr>
          <w:rFonts w:ascii="Times New Roman" w:hAnsi="Times New Roman" w:eastAsia="SimSun" w:cs="Times New Roman"/>
          <w:sz w:val="28"/>
          <w:szCs w:val="28"/>
          <w:highlight w:val="none"/>
        </w:rPr>
      </w:r>
      <w:r>
        <w:rPr>
          <w:rFonts w:ascii="Times New Roman" w:hAnsi="Times New Roman" w:eastAsia="SimSu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SimSun" w:cs="Times New Roman"/>
          <w:sz w:val="28"/>
          <w:szCs w:val="28"/>
          <w:highlight w:val="white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</w:rPr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18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6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выпускников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получили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t xml:space="preserve">знак администрации города Нижневартовска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t xml:space="preserve">Лучший ученик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;</w:t>
      </w:r>
      <w:r>
        <w:rPr>
          <w:rFonts w:ascii="Times New Roman" w:hAnsi="Times New Roman" w:eastAsia="SimSun" w:cs="Times New Roman"/>
          <w:sz w:val="28"/>
          <w:szCs w:val="28"/>
          <w:highlight w:val="white"/>
        </w:rPr>
      </w:r>
      <w:r>
        <w:rPr>
          <w:rFonts w:ascii="Times New Roman" w:hAnsi="Times New Roman" w:eastAsia="SimSu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SimSun" w:cs="Times New Roman"/>
          <w:sz w:val="28"/>
          <w:szCs w:val="28"/>
          <w:highlight w:val="darkCyan"/>
        </w:rPr>
      </w:pP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а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ттестат с отличием в 2025 году получили 139 девятиклассников (2024 год – 155, 2023 год – 138).</w:t>
      </w:r>
      <w:r>
        <w:rPr>
          <w:rFonts w:ascii="Times New Roman" w:hAnsi="Times New Roman" w:eastAsia="SimSun" w:cs="Times New Roman"/>
          <w:sz w:val="28"/>
          <w:szCs w:val="28"/>
          <w:highlight w:val="darkCyan"/>
        </w:rPr>
      </w:r>
      <w:r>
        <w:rPr>
          <w:rFonts w:ascii="Times New Roman" w:hAnsi="Times New Roman" w:eastAsia="SimSun" w:cs="Times New Roman"/>
          <w:sz w:val="28"/>
          <w:szCs w:val="28"/>
          <w:highlight w:val="darkCyan"/>
        </w:rPr>
      </w:r>
    </w:p>
    <w:p>
      <w:pPr>
        <w:pStyle w:val="1026"/>
        <w:contextualSpacing w:val="0"/>
        <w:ind w:firstLine="720"/>
        <w:jc w:val="both"/>
        <w:rPr>
          <w:color w:val="000000" w:themeColor="text1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Результатом деятельности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Движения Первых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 стали значимые победы на региональном уровне: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1026"/>
        <w:contextualSpacing w:val="0"/>
        <w:ind w:firstLine="72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Юдина Варвара МБОУ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Гимназия №2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 – победитель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конкурсе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Открытка Победы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сборная команды МБОУ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СШ №6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 – 1 место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проекте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Первая помощь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color w:val="000000" w:themeColor="text1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сборная МБОУ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СШ №11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 и МБОУ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Лицей №1 им. А.С. Пушкина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 – победитель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проекта 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Первые спортивные</w:t>
      </w:r>
      <w:r>
        <w:rPr>
          <w:rFonts w:ascii="Times New Roman" w:hAnsi="Times New Roman" w:eastAsia="SimSun" w:cs="Times New Roman"/>
          <w:color w:val="000000" w:themeColor="text1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  <w:lang w:eastAsia="ar-SA"/>
        </w:rPr>
        <w:t xml:space="preserve">.</w:t>
      </w:r>
      <w:r>
        <w:rPr>
          <w:color w:val="000000" w:themeColor="text1"/>
          <w:highlight w:val="none"/>
        </w:rPr>
      </w:r>
      <w:r>
        <w:rPr>
          <w:color w:val="000000" w:themeColor="text1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3 учителя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итогам конкурса прошли обучение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 программам повышения квалификации в образовательном центре "Сириус"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(г. Сочи);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pStyle w:val="1026"/>
        <w:ind w:firstLine="720"/>
        <w:jc w:val="both"/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По итогам 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Регионального этапа Всероссийских конкурсов профессионального мастерства в сфере образования Ханты-Мансийского автономного округа – Югры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Педагог года Югры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Calibri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highlight w:val="none"/>
        </w:rPr>
        <w:t xml:space="preserve">в 2025 году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3 педагога стали победителями: </w:t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</w:p>
    <w:p>
      <w:pPr>
        <w:pStyle w:val="1026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Calibri" w:cs="Times New Roman"/>
          <w:color w:val="000000" w:themeColor="text1"/>
          <w:sz w:val="28"/>
          <w:szCs w:val="28"/>
        </w:rPr>
        <w:t xml:space="preserve">Сабитова Елена</w:t>
      </w:r>
      <w:r>
        <w:rPr>
          <w:rFonts w:ascii="Times New Roman" w:hAnsi="Times New Roman" w:eastAsia="Calibri" w:cs="Times New Roman"/>
          <w:sz w:val="28"/>
          <w:szCs w:val="28"/>
        </w:rPr>
        <w:t xml:space="preserve"> Олеговна, учитель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СШ №40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 – в конкурсе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Учитель родного языка и литературы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;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1026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Долба Ирина Александровна, директор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СШ №34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– в конкурсе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Руководитель года образовательной организации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; 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pStyle w:val="1026"/>
        <w:ind w:firstLine="720"/>
        <w:jc w:val="both"/>
        <w:rPr>
          <w:rFonts w:ascii="Times New Roman" w:hAnsi="Times New Roman" w:eastAsia="Calibri" w:cs="Times New Roman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Calibri" w:cs="Times New Roman"/>
          <w:sz w:val="28"/>
          <w:szCs w:val="28"/>
        </w:rPr>
        <w:t xml:space="preserve">Темирханова Нурият Дадашевна, учитель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СШ №8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– в конкурсе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От сердца к сердцу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.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Шарафутдинова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Оксана Викторовна, пед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агог дополнительного образования МАУДО г. Нижневартовска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ЦДТ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 – о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бладатель премии Губернатора Ханты-Мансийского автономного округа – Югры.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Хисамова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Алла Вячеславовна, учитель биологии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Лицей №2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Кобелева Наталья Владимировна, учитель информатики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СШ №22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– лауреаты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номинации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Лучшие учителя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образовательных организаций и обладатели гранта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Президента Российской Федерации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Calibri" w:cs="Times New Roman"/>
          <w:sz w:val="28"/>
          <w:szCs w:val="28"/>
        </w:rPr>
        <w:t xml:space="preserve">Туренко Илья Александрович, учитель истории МБОУ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Гимназия №2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–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победитель проекта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Флагманы образования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 президентской платформы 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Россия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-</w:t>
      </w:r>
      <w:r>
        <w:rPr>
          <w:rFonts w:ascii="Times New Roman" w:hAnsi="Times New Roman" w:eastAsia="Calibri" w:cs="Times New Roman"/>
          <w:sz w:val="28"/>
          <w:szCs w:val="28"/>
        </w:rPr>
        <w:t xml:space="preserve"> страна возможностей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"</w:t>
      </w:r>
      <w:r>
        <w:rPr>
          <w:rFonts w:ascii="Times New Roman" w:hAnsi="Times New Roman" w:eastAsia="SimSun" w:cs="Times New Roman"/>
          <w:sz w:val="28"/>
          <w:szCs w:val="28"/>
          <w:highlight w:val="white"/>
          <w:lang w:eastAsia="ar-SA"/>
        </w:rPr>
        <w:t xml:space="preserve">.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МБОУ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Лице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и МБОУ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Гимназия №2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 вошли в топ - 10 лучших школ Ханты-Мансийского автономного округа – Югры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по результатам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рейтингового агентства RAEX в 2025 году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b w:val="0"/>
          <w:bCs w:val="0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МБОУ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Лицей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  <w:shd w:val="clear" w:color="auto" w:fill="ffffff"/>
        </w:rPr>
        <w:t xml:space="preserve">"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на регионально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 уровне вошел в список общеобразовательных организаций, и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меющих стабильно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высокие образовательные результаты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none"/>
        </w:rPr>
        <w:t xml:space="preserve">. </w:t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color w:val="auto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r>
      <w:r>
        <w:rPr>
          <w:color w:val="auto"/>
        </w:rPr>
      </w:r>
      <w:r>
        <w:rPr>
          <w:color w:val="auto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t xml:space="preserve">Об успешности реализации комплексной поддержки обучающихся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br/>
        <w:t xml:space="preserve">и преподавателей ДШИ Нижневартовска позволяют говорить достижения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  <w:br/>
        <w:t xml:space="preserve">в области художественного образования 2025 года: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auto"/>
          <w:sz w:val="28"/>
          <w:szCs w:val="28"/>
          <w:lang w:eastAsia="ar-SA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Вильвовская Татьяна Николаевна, преподаватель театральных дисциплин МАУДО г. Нижневартовска "ДШИ №3"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признана Лауреатом премии Губернатора автономного округа выдающимся деятелям культуры и искусства;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Демьяненко Иван Владимирович, преподаватель художественных дисциплин МАУДО г. Нижневартовска "ДШИ №3" вошел в число финалистов и принял участие в XVI Красноярской музейной биеннале "Принцип надежды";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проект "Окружной конкурс профессионального мастерства среди преподавателей и концертмейстеров детских школ искусств и музыкальных школ ХМАО-Югры" (ДШИ №3)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признан победителем конкурса</w:t>
        <w:br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на предоставление грантов Президента России на реализацию проектов</w:t>
        <w:br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области культуры, искусства и креативных (творческих) индустрий и успешно реализован в декабре текущего года при поддержке Департамента культуры ХМАО – Югры;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7 преподавателей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ДШИ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по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итогам конкурса прошли обучение</w:t>
        <w:br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 программам повышения квалификации в образовательном центре "Сириус"</w:t>
        <w:br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(г. Сочи);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4 обучающихся ДШИ Нижневартовска стали призерами Всероссийской юношеской олимпиады в области искусств – Общероссийского конкурса "Молодые дарования России", учрежденной Министерством культуры Российской Федерации (Молчанов Георгий, Чубук Елена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Портянко</w:t>
        <w:br/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Юлия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обучающи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еся ДШИ №1; Винокурова Ангелина,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обучающаяся ДШИ №3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Винокурова Ангелина, обучающаяся ДШИ №3 вошла в состав творческой делегации автономного округа Югры, представившей округ на IV Международном детском культурном форуме в г. Москве;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 преподавателя (Ильина Наталия Витальевна, Рябинина Людмила Ивановна)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признаны Лауреатами премии Губернатора Х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анты-Мансийского автономного округа – Югры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за особые заслуги в области педагогической деятельности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организациях дополнительного образования сферы культуры;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28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обучающихся по итогам конкурса приняли участие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 профильных сменах (творческих интенсивах), организованных Департаментом культуры Ханты-Мансийского автономного округа – Югры;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18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обучающихся ДШИ Нижневартовска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распоряжением Губернатора Ханты-Мансийского автономного округа – Югры от 19.08.2025 №260-рг признаны Лауреатами премии Г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убернатора творчески одаренным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обучающимся организаций дополнительного образования сферы культуры;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12 обучающихся ДШИ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распоряжением администрации города 20.03.2025 №169-р  12 обучающихся ДШИ определены для награждения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ежегодной премией "Юные таланты Самотлора"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</w:r>
    </w:p>
    <w:p>
      <w:pPr>
        <w:jc w:val="both"/>
        <w:spacing w:after="0" w:line="240" w:lineRule="auto"/>
        <w:tabs>
          <w:tab w:val="left" w:pos="992" w:leader="none"/>
        </w:tabs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ligatures w14:val="none"/>
        </w:rPr>
      </w:r>
      <w:r/>
    </w:p>
    <w:p>
      <w:pPr>
        <w:ind w:firstLine="708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t xml:space="preserve">Об успешности реализации комплексной поддержки обучающихся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br/>
        <w:t xml:space="preserve">и тренеров-преподавателей спортивных школ Нижневартовска позволяют говорить достижения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t xml:space="preserve"> в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сфере физической культуры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  <w:lang w:eastAsia="ru-RU"/>
        </w:rPr>
        <w:t xml:space="preserve"> и спорта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eastAsia="ar-SA"/>
        </w:rPr>
        <w:t xml:space="preserve">.</w:t>
      </w:r>
      <w:r/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состав сборной команды Ханты-Мансийского автономного округа – Югры по итогам 2025 года вошли 1 012 нижневартовских спортсмена, в состав сборной России 44 спортсмена завоевано 2 291 медалей различного достоинства, по итогам участия в соревнованиях присвоен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о 4 152 разрядов </w:t>
        <w:br/>
        <w:t xml:space="preserve">и званий.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Яркими победами стали выступления спортсменов: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Кузнецов Сергей, чемпион мира по самбо в весовой категории до 98 кг в городе Бишкек (Кыргызстан);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Заурбек Сидаков, чемпион мира по спортивной (вольной) борьбе в весовой категории до 74 кг в городе Загреб (Хорватия);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Артур Найфонов, бронзовый призер Чемпионата Европы по спортивной (Вольной) борьбе в весовой категории до 86 кг в городе Братислава (Словакия).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2025 году проведено более 1 тыс. физкультурных и спортивных мероприятий с участием более 60 тыс. человек. С участием всех возрастных групп населения проведены: Всероссийская массовая лыжная гонка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Лыжня России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, Кубок главы города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Лыжня для всех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, Всерос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сийские соревнования по легкой атлетике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Кросс Наций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На территории города в 2025 году успешно начали реализацию проекта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Спорт для героев СВО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, в рамках которого проведено более 30 физкультурных и спортивных мероприятий, мастер-классов по видам спорта, в которых приняли участие более 70 участников СВО.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По итогам участия коллективов спортивных школ в различного рода конкурсах: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Госпаблик МАУДО г. Нижневартовска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СШОР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занял 2 место </w:t>
        <w:br/>
        <w:t xml:space="preserve">во Всероссийском конкурсе Министерства спорта Российской Федерации </w:t>
        <w:br/>
        <w:t xml:space="preserve">в категории спортивных госпабликов;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МАУДО г. Нижневартовска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СШОР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Самотлор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занял 1 место </w:t>
        <w:br/>
        <w:t xml:space="preserve">в региональном конкурсе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Лучшая программа, реализуемая в организациях, осуществляющих досуг и занятость детей в ХМАО-Югре в 2025 году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;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МАУДО г. Нижневартовска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СШ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 заняла 1 место в региональном конкурсе на лучшую организацию наставничества в организациях отрасли физической культуры и спорта в Ханты-Мансийском автономном округе – Югре в 2025 году;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династия тренеров Исаковых по спортивной акробатике (МАУДО г. Нижневартовска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СШ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) стала лауреатом проекта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Золотые имена многонациональной Югры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right="0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  <w:t xml:space="preserve">Стабильный рост показателей свидетельствует о качественной подготовке обучающихся в спортивных школах.</w:t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lang w:eastAsia="ru-RU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ligatures w14:val="none"/>
        </w:rPr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  <w14:ligatures w14:val="none"/>
        </w:rPr>
      </w:r>
    </w:p>
    <w:p>
      <w:pPr>
        <w:pStyle w:val="1207"/>
        <w:spacing w:line="240" w:lineRule="auto"/>
        <w:rPr>
          <w:rFonts w:eastAsia="Calibri"/>
          <w:b/>
          <w:color w:val="auto"/>
          <w:sz w:val="28"/>
          <w:szCs w:val="28"/>
          <w:highlight w:val="none"/>
        </w:rPr>
      </w:pPr>
      <w:r>
        <w:rPr>
          <w:rFonts w:eastAsia="Calibri"/>
          <w:color w:val="auto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  <w:t xml:space="preserve">В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  <w:t xml:space="preserve"> соответствии с государственной политикой </w:t>
      </w:r>
      <w:r>
        <w:rPr>
          <w:rFonts w:eastAsia="Calibri"/>
          <w:color w:val="auto"/>
          <w:sz w:val="28"/>
          <w:szCs w:val="28"/>
          <w:highlight w:val="none"/>
          <w:lang w:eastAsia="ru-RU"/>
        </w:rPr>
        <w:t xml:space="preserve">развития городского образования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  <w:lang w:eastAsia="ar-SA"/>
        </w:rPr>
        <w:t xml:space="preserve">на период 2026-2028 годов </w:t>
      </w:r>
      <w:r>
        <w:rPr>
          <w:rFonts w:ascii="Times New Roman" w:hAnsi="Times New Roman" w:eastAsia="Times New Roman" w:cs="Times New Roman"/>
          <w:bCs/>
          <w:color w:val="auto"/>
          <w:sz w:val="28"/>
          <w:szCs w:val="28"/>
          <w:highlight w:val="none"/>
          <w:lang w:eastAsia="ru-RU"/>
        </w:rPr>
        <w:t xml:space="preserve">основные</w:t>
      </w:r>
      <w:r>
        <w:rPr>
          <w:rFonts w:eastAsia="Calibri"/>
          <w:color w:val="auto"/>
          <w:sz w:val="28"/>
          <w:szCs w:val="28"/>
          <w:highlight w:val="none"/>
          <w:lang w:eastAsia="ru-RU"/>
        </w:rPr>
        <w:t xml:space="preserve"> направления деятельности базируются на решении следующих ключевых задач</w:t>
      </w:r>
      <w:r>
        <w:rPr>
          <w:rFonts w:eastAsia="Calibri"/>
          <w:color w:val="auto"/>
          <w:sz w:val="28"/>
          <w:szCs w:val="28"/>
          <w:highlight w:val="none"/>
          <w:lang w:eastAsia="ru-RU"/>
        </w:rPr>
        <w:t xml:space="preserve">.</w:t>
      </w:r>
      <w:r>
        <w:rPr>
          <w:rFonts w:eastAsia="Calibri"/>
          <w:b/>
          <w:color w:val="auto"/>
          <w:sz w:val="28"/>
          <w:szCs w:val="28"/>
          <w:highlight w:val="none"/>
        </w:rPr>
      </w:r>
      <w:r>
        <w:rPr>
          <w:rFonts w:eastAsia="Calibri"/>
          <w:b/>
          <w:color w:val="auto"/>
          <w:sz w:val="28"/>
          <w:szCs w:val="28"/>
          <w:highlight w:val="none"/>
        </w:rPr>
      </w:r>
    </w:p>
    <w:p>
      <w:pPr>
        <w:pStyle w:val="1207"/>
        <w:contextualSpacing w:val="0"/>
        <w:ind w:firstLine="720"/>
        <w:jc w:val="both"/>
        <w:spacing w:line="240" w:lineRule="auto"/>
        <w:rPr>
          <w:rFonts w:eastAsia="Calibri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Calibri"/>
          <w:b/>
          <w:color w:val="000000" w:themeColor="text1"/>
          <w:sz w:val="28"/>
          <w:szCs w:val="28"/>
          <w:highlight w:val="none"/>
          <w:lang w:eastAsia="ru-RU"/>
        </w:rPr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207"/>
        <w:contextualSpacing w:val="0"/>
        <w:ind w:firstLine="720"/>
        <w:jc w:val="both"/>
        <w:spacing w:line="240" w:lineRule="auto"/>
        <w:rPr>
          <w:rFonts w:eastAsia="Calibri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Calibri"/>
          <w:b/>
          <w:color w:val="000000" w:themeColor="text1"/>
          <w:sz w:val="28"/>
          <w:szCs w:val="28"/>
          <w:highlight w:val="none"/>
          <w:lang w:eastAsia="ru-RU"/>
        </w:rPr>
        <w:t xml:space="preserve">По направлению общего образования:</w:t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207"/>
        <w:contextualSpacing w:val="0"/>
        <w:ind w:firstLine="720"/>
        <w:jc w:val="both"/>
        <w:spacing w:line="240" w:lineRule="auto"/>
        <w:rPr>
          <w:rFonts w:eastAsia="Calibri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eastAsia="Calibri"/>
          <w:b/>
          <w:color w:val="000000" w:themeColor="text1"/>
          <w:sz w:val="28"/>
          <w:szCs w:val="28"/>
          <w:highlight w:val="none"/>
          <w:lang w:eastAsia="ru-RU"/>
        </w:rPr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  <w:r>
        <w:rPr>
          <w:rFonts w:eastAsia="Calibri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остижение показателей национального проекта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Молодёжь </w:t>
        <w:br/>
        <w:t xml:space="preserve">и дети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по региональным проектам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Вс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ё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лучшее детям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Педагоги 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наставники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Профессионалитет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 том числе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охват дополнительным образованием 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88,07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 % детей 5–18 лет (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проект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Всё лучшее детям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выявление выдающихся способностей и талантов у 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0,96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% детей и молодёжи в возрасте от 7 до 35 лет (проект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Всё лучшее детям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увеличение доли педагогов, прошедших аттестацию на квалификационную категорию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педагог‑наставник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, на 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10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% (проект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Педагоги и наставники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вовлечение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46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% обучающихся 6-11 классов 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комплекс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профориентационных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 мероприятий в рамках Единой модели профориентации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(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Профессионалитет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).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Патриотическое и духовно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нравственное воспитание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формирование патриотичной, социально ответственной личности, укоренённой в культурных и нравственных традициях России;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взаи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модействие с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Движением первых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 достижение вовлеченности учащиеся в мероприятиях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менее 70%;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асширение практики мероприятий, формирующих уваже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ние к истории и символам России;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беспечение деятельности советников по воспитанию во всех школах (100%, 33 педагога)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Социальная поддержка семей участников СВО: создание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комплексной системы социальной защиты и психолого‑педагогической поддержки семей участников СВО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100% 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омпенсация родите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льской платы </w:t>
        <w:br/>
        <w:t xml:space="preserve">за дошкольный уход;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еализация программы психолого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педагогического сопровождения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вместе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оддержка проектов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Диалоги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Героями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  <w:br/>
        <w:t xml:space="preserve">и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Библиотечка героя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беспечение деятельности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творческого клуба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Просто рядом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Единое образовательное пространство и ФГОС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: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олный переход на единые федеральные основные образовательные программы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(ФООП) </w:t>
        <w:br/>
        <w:t xml:space="preserve">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Федеральные государственные образовательные стандарты (ФГОС)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поэтапное сокращение доли обучающихся, занимающихся во вторую смену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азработка индивидуал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ьн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ых образовательных траекторий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учащихся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100% школ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ктивизация проектной 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исследовательской деятельности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учащихся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спользование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методических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аналитических инструментов ЦОС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я Школа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Практико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ориентированное обучение и ранняя профориентация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возрождение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уроков труда с акцентом на современные технологии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еализация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профминимума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на продвинутом уровне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100% общеобразовательных организациях (33 школы)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роведение мероприятий проектов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Будущий пр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офессионал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Билет в будущее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менее 120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мероприятий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год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овлечение родителей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профориентационную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работу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менее 10% ежегодно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Кадровое обеспечение и престиж профессии учителя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  <w:lang w:eastAsia="ru-RU"/>
        </w:rPr>
        <w:t xml:space="preserve">: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ривлечение в образовательные организации молодых специалистов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менее 20 человек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недрение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программ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поддержки, повышение квалификации действующих педагогов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азвитие института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советников директора по воспитанию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в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33 школах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людение нормативов оплаты труда;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оп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тимизация документооборота,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окращение избыточной отчётности; 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одействие участию педагогов в профессиональных конкурсах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не менее 50 педагогов в год)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Развитие инфраструктуры и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цифровизация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: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беспечение до 01.09.2026 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100%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оснащение кабинетов физики, химии, биологии, изобразительного искусства и музыки в общеобразовательных организациях города в соответствии с требованиями Федерального государственного образовательного стандарта (ФГОС);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одготовка проектной и рабочей документации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для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строительства объекта "Общеобразовательная школа на 800 учащихся в 9А микрорайоне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г. Нижневартовска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ыполнение текущего и к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апитального ремонта зданий согласно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утверждённым планам;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обеспечение антитеррористической защищённости объектов после ремонта;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асширение использования электронных учебников и онлайн платформ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 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нтеграция школ в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экосистему федерального проекта 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Моя школа</w:t>
      </w:r>
      <w:r>
        <w:rPr>
          <w:rFonts w:ascii="Times New Roman" w:hAnsi="Times New Roman"/>
          <w:color w:val="000000" w:themeColor="text1"/>
          <w:sz w:val="28"/>
          <w:szCs w:val="28"/>
          <w:lang w:eastAsia="ru-RU" w:bidi="ru-RU"/>
        </w:rPr>
        <w:t xml:space="preserve">"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бучение педагог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ов работе с цифровыми сервисами;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беспечение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кибербезопасности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и защиты персональных данных.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pStyle w:val="1026"/>
        <w:numPr>
          <w:ilvl w:val="0"/>
          <w:numId w:val="76"/>
        </w:numPr>
        <w:contextualSpacing w:val="0"/>
        <w:ind w:left="0" w:firstLine="72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даптивность к внешним вызовам и устойчивость системы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внедрение новых форм профилактической работы;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у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силение взаимодействия с ПДН,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 КДН и ЗП, социальными службами;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овышение правовой грамотности участ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ников образовательного процесса; п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роведение мероприятий </w:t>
        <w:br/>
        <w:t xml:space="preserve">по формированию общеросс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ийской гражданской идентичности; р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азвитие межкультурного ди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алога и профилактика конфликтов; о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рганизация мероприятий по приобщению к культурному наследию.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pStyle w:val="1026"/>
        <w:contextualSpacing w:val="0"/>
        <w:ind w:left="0"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contextualSpacing w:val="0"/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  <w:lang w:eastAsia="ru-RU"/>
        </w:rPr>
        <w:t xml:space="preserve">По направлению дополнительного образования в области искусств в сфере культуры:</w:t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contextualSpacing w:val="0"/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highlight w:val="none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1. Обеспечение государственных гарантий доступности качественного дополнительного образования в сфере культуры.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2. Сохранение и развитие отечественных традиций по выявлению</w:t>
      </w:r>
      <w:r>
        <w:rPr>
          <w:rFonts w:ascii="Times New Roman" w:hAnsi="Times New Roman"/>
          <w:sz w:val="28"/>
          <w:szCs w:val="28"/>
          <w:lang w:eastAsia="ar-SA"/>
        </w:rPr>
        <w:br/>
        <w:t xml:space="preserve">и обучению одаренных детей по предпрофессиональным образовательным программам в области искусств, создание условий для их самоопределения </w:t>
      </w:r>
      <w:r>
        <w:rPr>
          <w:rFonts w:ascii="Times New Roman" w:hAnsi="Times New Roman"/>
          <w:sz w:val="28"/>
          <w:szCs w:val="28"/>
          <w:lang w:eastAsia="ar-SA"/>
        </w:rPr>
        <w:br/>
        <w:t xml:space="preserve">и профессиональной ориентации.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 w:bidi="ru-RU"/>
        </w:rPr>
        <w:t xml:space="preserve">3. Создание у</w:t>
      </w:r>
      <w:r>
        <w:rPr>
          <w:rFonts w:ascii="Times New Roman" w:hAnsi="Times New Roman"/>
          <w:sz w:val="28"/>
          <w:szCs w:val="28"/>
          <w:lang w:eastAsia="ar-SA" w:bidi="ru-RU"/>
        </w:rPr>
        <w:t xml:space="preserve">словий для воспитания патриотичной и социально-ответственной личности на основе традиционных российских духовно-нравственных и культурно-исторических ценностей, сохранение памяти о выдающихся личностях, внесших значительный вклад в развитие культуры России</w:t>
      </w:r>
      <w:r>
        <w:rPr>
          <w:rFonts w:ascii="Times New Roman" w:hAnsi="Times New Roman"/>
          <w:sz w:val="28"/>
          <w:szCs w:val="28"/>
          <w:lang w:eastAsia="ar-SA"/>
        </w:rPr>
        <w:t xml:space="preserve"> и </w:t>
      </w:r>
      <w:r>
        <w:rPr>
          <w:rFonts w:ascii="Times New Roman" w:hAnsi="Times New Roman"/>
          <w:sz w:val="28"/>
          <w:szCs w:val="28"/>
          <w:lang w:eastAsia="ar-SA" w:bidi="ru-RU"/>
        </w:rPr>
        <w:t xml:space="preserve">о значимых событиях в истории России</w:t>
      </w:r>
      <w:r>
        <w:rPr>
          <w:rFonts w:ascii="Times New Roman" w:hAnsi="Times New Roman"/>
          <w:sz w:val="28"/>
          <w:szCs w:val="28"/>
          <w:lang w:eastAsia="ar-SA" w:bidi="ru-RU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4. Реализация мер, направленных на сохранность контингента обучающихся </w:t>
      </w:r>
      <w:r>
        <w:rPr>
          <w:rFonts w:ascii="Times New Roman" w:hAnsi="Times New Roman"/>
          <w:sz w:val="28"/>
          <w:szCs w:val="28"/>
          <w:lang w:eastAsia="ar-SA"/>
        </w:rPr>
        <w:t xml:space="preserve">в ДШИ и увеличение количества выпускников, освоивших дополнительные предпрофессиональные программы в области искусств.</w:t>
      </w:r>
      <w:r>
        <w:rPr>
          <w:rFonts w:ascii="Times New Roman" w:hAnsi="Times New Roman"/>
          <w:sz w:val="28"/>
          <w:szCs w:val="28"/>
          <w:lang w:eastAsia="ar-SA"/>
        </w:rPr>
      </w:r>
      <w:r>
        <w:rPr>
          <w:rFonts w:ascii="Times New Roman" w:hAnsi="Times New Roman"/>
          <w:sz w:val="28"/>
          <w:szCs w:val="28"/>
          <w:lang w:eastAsia="ar-SA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5. С</w:t>
      </w:r>
      <w:r>
        <w:rPr>
          <w:rFonts w:ascii="Times New Roman" w:hAnsi="Times New Roman"/>
          <w:sz w:val="28"/>
          <w:szCs w:val="28"/>
          <w:lang w:eastAsia="ar-SA"/>
        </w:rPr>
        <w:t xml:space="preserve">оздание условий для образовательной мобильности обучающихся, предусматривающих разработку и реализацию индивидуальных учебных планов, адаптированных образовательных программ.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1220"/>
        <w:numPr>
          <w:ilvl w:val="0"/>
          <w:numId w:val="43"/>
        </w:numPr>
        <w:ind w:left="0" w:firstLine="709"/>
        <w:jc w:val="both"/>
        <w:spacing w:after="0" w:line="240" w:lineRule="auto"/>
        <w:tabs>
          <w:tab w:val="clear" w:pos="0" w:leader="none"/>
          <w:tab w:val="left" w:pos="709" w:leader="none"/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6. Формирование качественного позитивного интернет-контента</w:t>
      </w:r>
      <w:r>
        <w:rPr>
          <w:rFonts w:ascii="Times New Roman" w:hAnsi="Times New Roman"/>
          <w:sz w:val="28"/>
          <w:szCs w:val="28"/>
          <w:lang w:eastAsia="ar-SA"/>
        </w:rPr>
        <w:br/>
        <w:t xml:space="preserve">о деятельности ДШИ на официальных информационных ресурсах учреждений: сайтах и страницах социальных сетей.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contextualSpacing w:val="0"/>
        <w:ind w:left="709" w:firstLine="720"/>
        <w:jc w:val="both"/>
        <w:spacing w:after="0" w:line="240" w:lineRule="auto"/>
        <w:tabs>
          <w:tab w:val="left" w:pos="992" w:leader="none"/>
        </w:tabs>
        <w:rPr>
          <w:rFonts w:ascii="Times New Roman" w:hAnsi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  <w:highlight w:val="none"/>
        </w:rPr>
        <w:t xml:space="preserve">о направлению дополнительного образования в сфере физической культуры и спорта:</w:t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1026"/>
        <w:contextualSpacing w:val="0"/>
        <w:ind w:firstLine="720"/>
        <w:jc w:val="both"/>
        <w:rPr>
          <w:color w:val="000000" w:themeColor="text1"/>
          <w:sz w:val="28"/>
          <w:szCs w:val="28"/>
          <w:highlight w:val="none"/>
        </w:rPr>
        <w:suppressLineNumbers w:val="0"/>
      </w:pP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  <w:r>
        <w:rPr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У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лучшение материально-технической базы и инфраструктуры спортивных школ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овышение уровня удовлетворенности жителей города условиями для занятий физической культурой и спортом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П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овышение эффективности системы выявления, поддержки </w:t>
        <w:br/>
        <w:t xml:space="preserve">и развития способностей, талантов у детей и молодежи в сфере физической культуры и спорта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оздание условий для формирования, подготовки и сохранения спортивного резерва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оздание условий для занятий адаптивной физической культурой и спортом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Р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азвитие кадрового обеспечения сферы физической культуры </w:t>
        <w:br/>
        <w:t xml:space="preserve">и спорта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С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овершенствование системы спортивной подготовки детей </w:t>
        <w:br/>
        <w:t xml:space="preserve">и молодежи, а также формирование условий для развития школьного </w:t>
        <w:br/>
        <w:t xml:space="preserve">и студенческого спорта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pStyle w:val="1026"/>
        <w:numPr>
          <w:ilvl w:val="0"/>
          <w:numId w:val="23"/>
        </w:numPr>
        <w:contextualSpacing w:val="0"/>
        <w:ind w:left="0"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В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оспитание гармонично развитой и социально ответственной личности путем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обеспечения высокого уровня духовно-нравственных </w:t>
        <w:br/>
        <w:t xml:space="preserve">и этических ценностей в сфере физической культуры и спорта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none"/>
        </w:rPr>
      </w:r>
    </w:p>
    <w:p>
      <w:pPr>
        <w:ind w:left="786" w:firstLine="0"/>
        <w:jc w:val="both"/>
        <w:spacing w:after="0" w:line="240" w:lineRule="auto"/>
        <w:widowControl w:val="off"/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</w:r>
      <w:r>
        <w:rPr>
          <w:rFonts w:ascii="Times New Roman" w:hAnsi="Times New Roman" w:eastAsia="Times New Roman"/>
          <w:color w:val="000000" w:themeColor="text1"/>
          <w:sz w:val="28"/>
          <w:szCs w:val="28"/>
          <w:highlight w:val="none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ff0000"/>
          <w:sz w:val="16"/>
          <w:szCs w:val="16"/>
        </w:rPr>
        <w:sectPr>
          <w:headerReference w:type="default" r:id="rId9"/>
          <w:footnotePr/>
          <w:endnotePr/>
          <w:type w:val="nextPage"/>
          <w:pgSz w:w="11906" w:h="16838" w:orient="portrait"/>
          <w:pgMar w:top="1134" w:right="851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ff0000"/>
          <w:sz w:val="16"/>
          <w:szCs w:val="16"/>
        </w:rPr>
      </w:r>
      <w:r>
        <w:rPr>
          <w:rFonts w:ascii="Times New Roman" w:hAnsi="Times New Roman" w:eastAsia="Times New Roman" w:cs="Times New Roman"/>
          <w:color w:val="ff0000"/>
          <w:sz w:val="16"/>
          <w:szCs w:val="16"/>
        </w:rPr>
      </w:r>
      <w:r>
        <w:rPr>
          <w:rFonts w:ascii="Times New Roman" w:hAnsi="Times New Roman" w:eastAsia="Times New Roman" w:cs="Times New Roman"/>
          <w:color w:val="ff0000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ИТОГОВЫЙ ОТЧЕТ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t xml:space="preserve">департамента образования, департамента по социальной политике администрации города Нижневартовска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  <w:lang w:eastAsia="ru-RU"/>
        </w:rPr>
        <w:br/>
        <w:t xml:space="preserve">о результатах анализа состояния и перспектив развития системы образования за 2025 год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16"/>
          <w:szCs w:val="16"/>
          <w:highlight w:val="white"/>
        </w:rPr>
      </w:pPr>
      <w:r>
        <w:rPr>
          <w:rFonts w:ascii="Times New Roman" w:hAnsi="Times New Roman" w:eastAsia="Times New Roman" w:cs="Times New Roman"/>
          <w:b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b/>
          <w:sz w:val="16"/>
          <w:szCs w:val="16"/>
          <w:highlight w:val="white"/>
        </w:rPr>
      </w:r>
      <w:r>
        <w:rPr>
          <w:rFonts w:ascii="Times New Roman" w:hAnsi="Times New Roman" w:eastAsia="Times New Roman" w:cs="Times New Roman"/>
          <w:b/>
          <w:sz w:val="16"/>
          <w:szCs w:val="16"/>
          <w:highlight w:val="whit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  <w:t xml:space="preserve">Показатели мониторинга системы образования города Нижневартовска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r>
      <w:r>
        <w:rPr>
          <w:rFonts w:ascii="Times New Roman" w:hAnsi="Times New Roman" w:eastAsia="Times New Roman" w:cs="Times New Roman"/>
          <w:b/>
          <w:bCs/>
          <w:color w:val="000000" w:themeColor="text1"/>
          <w:sz w:val="16"/>
          <w:szCs w:val="16"/>
        </w:rPr>
      </w:r>
    </w:p>
    <w:tbl>
      <w:tblPr>
        <w:tblW w:w="5058" w:type="pct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8407"/>
        <w:gridCol w:w="2189"/>
        <w:gridCol w:w="1381"/>
        <w:gridCol w:w="1381"/>
      </w:tblGrid>
      <w:tr>
        <w:tblPrEx/>
        <w:trPr>
          <w:tblHeader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Раздел/подраздел/показатель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Единица измерения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форма оценки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2024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2025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25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I.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1. Сведения о развитии дошкольного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 Уровень доступности дошкольного образования и численность населения, получающего дошкольное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1.1.1. Доступность дошкольного образования (отношение численности детей опред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еленной возрастной группы, осваивающих образовательные программы дошкольного образования и (или) получающих присмотр и уход (контингент воспитанников), к сумме указанной численности и численности детей соответствующей возрастной группы, нуждающихся в получ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ении дошкольного образования и (или) присмотра и ухода, в целях направления детей в государственные, муниципальные образовательные организации, реализующие образовательные программы дошкольного образования и (или) осуществляющие присмотр и уход за детьми):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1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возрасте от 2 месяцев до прекращения образовательных отношений (завершения обучения по образовательной программе дошкольного образования и (или) получения присмотра и ухода);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возрасте от 2 месяцев до 3 лет;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возрасте от 3 лет до прекращения образовательных отношений (завершения обучения по образовательной программе дошкольного образования и (или) получения присмотра и ухода).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tabs>
                <w:tab w:val="center" w:pos="554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1.1.2. Охват детей дошкольным образованием (отношение численности детей определенной возрастной группы, посещающих организации, осуществляющие образовательную деятельность по образовательным программам дошкольного образования,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присмотр и уход за детьми, к общей численности детей соответствующей возрастной группы):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всего (в возрасте от 2 месяцев до 7 лет);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1186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baseline"/>
              </w:rPr>
              <w:t xml:space="preserve">-</w:t>
            </w:r>
            <w:r>
              <w:rPr>
                <w:rStyle w:val="1186"/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footnoteReference w:id="8"/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baseli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vertAlign w:val="baselin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возрасте от 2 месяцев до 3 лет;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возрасте от 3 до 7 лет.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1.1.3. Удельный вес численности детей, посещающих частные организации, осуществля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ющие образовательную деятельность по образовательным программам дошкольного образования, присмотр и уход за детьми, в общей численности детей, посещающих организации, реализующие образовательные программы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1,5</w:t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white"/>
              </w:rPr>
            </w:r>
          </w:p>
          <w:p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1,7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1.1.4. Наполняемость групп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компенсирующей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9,6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общеразвивающей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24,7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23,5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оздоровительной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комбинированной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15,0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15,0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по присмотру и уходу за детьми;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семейные дошкольные группы.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1.1.5. Наполняемость групп, функционирующих в режиме кратковременного и круглосуточного пребывания, в организациях, осуществляющих образовательную деятельность по образовательным программам дошкольного образования, присмотр и уход за детьми: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режиме кратковременного пребывания;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12,5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 режиме круглосуточного пребывания.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1.2. Содержание образовательной деятельности и организация образовательного процесса по образовательным программам дошкольного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.1. Удельный вес численности детей, посещающих группы различной направленности,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компенсирующей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13,2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16,5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общеразвивающей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86,5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81,3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оздоровительной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комбинированной направленности;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2,2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по присмотру и уходу за детьми;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семейные дошкольные группы.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1.3. Кадровое обеспечение дошкольных образовательных организаций и оценка уровня заработной платы педагогических работников: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1.3.1. Численность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детьми, в расчете на 1 педагогического работника.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8,9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8,1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1.3.2. Состав педагоги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ческих работников (без внешних совместителей и работавших по договорам гражданско-правового характера) организаций, осуществляющих образовательную деятельность по образовательным программам дошкольного образования, присмотр и уход за детьми, по должностям: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6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воспитатели;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76,2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74,9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>
          <w:trHeight w:val="27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старшие воспитатели;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9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музыкальные руководители;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5,8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5,4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инструкторы по физической культуре;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учителя-логопеды;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6,6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учителя-дефектологи;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педагоги-психологи;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3,3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социальные педагоги;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педагоги-организаторы;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педагоги дополнительного образования.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1.3.3. Отношение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среднемесячной заработной платы педагогических работников дошкольных образовательных организаций к среднемесячной заработной плате в сфере общего образования в субъекте Российской Федерации (по государственным и муниципальным образовательным организациям).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 w:eastAsiaTheme="minorEastAsia"/>
                <w:color w:val="auto"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  <w:lang w:eastAsia="ru-RU"/>
              </w:rPr>
              <w:t xml:space="preserve">100</w:t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 w:eastAsiaTheme="minorEastAsia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1.4. Материально-техническое и информационное обеспечение дошкольных образовательных организаций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1.4.1. Площадь помещений, используемых непосредственно для нужд дошкольных образовательных организаций, в расчете на 1 ребенка.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квадратный метр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12,4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13,6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1.4.2. Удельный вес числа дошкольных образовательных организаций, имеющих все виды благоустройства (водопровод, центральное отопление, канализация), в общем числе дошкольных образовательных организаций.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1.4.3. Удельный вес числа дошкольных образовательных организаций, имеющих физкультурные залы, в общем числе дошкольных образовательных организаций.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1.4.4. Число персональных компьютеров, доступных для использования детьми, в расчете на 100 детей, посещающих дошкольные образовательные организации.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6,0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1.5. Условия получения дошкольного образования лицами с ограниченными возможностями здоровья и инвалидами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1.5.1. Удельный вес численности детей с ограниченными возможностями здоровья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13,2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17,1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1.5.2. Удельный вес численности детей-инвалидов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1,9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1.5.3. Структура численности детей с ограниченными возможностями здоровья, обучающихся в группах компенсирующей, оздоровительной и комбинированной направленности дошкольных образовательных организаций, по видам групп (*):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компенсирующей направленности, в том числе для детей: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100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слуха,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речи,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78,3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77,7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зрения,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1,2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умственной отсталостью (интеллектуальными нарушениями),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0,8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задержкой психического развития,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15,8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14,7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опорно-двигательного аппарата,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2,9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2,1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 сложными дефектами,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0,2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другого профиля;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оздоровительной направленности, в том числе для детей: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туберкулезной интоксикацией,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часто болеющих;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комбинированной направленности.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3,3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1.5.4. Структура численности детей-инвалидов, обучающихся в группах компенсирующей и комбинированной направленности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дошкольных образовательных организаций, по видам групп (*):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группы компенсирующей направленности, в том числе для детей: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100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слуха,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речи,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22,1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25,5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зрения,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умственной отсталостью (интеллектуальными нарушениями),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6,7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задержкой психического развития,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55,8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58,2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 нарушениями опорно-двигательного аппарата,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8,2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со сложными дефектами,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1,4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другого профиля;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группы комбинированной направленности.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color w:val="000000" w:themeColor="text1"/>
                <w:highlight w:val="white"/>
              </w:rPr>
            </w:r>
            <w:r>
              <w:rPr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1.6. Состояние здоровья лиц, обучающихся по программам дошкольного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1.6.1. Уде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льный вес численности детей, охваченных летними оздоровительными мероприятиями, в общей численности детей, посещающих организации, осуществляющие образовательную деятельность по образовательным программам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-</w:t>
            </w:r>
            <w:r>
              <w:rPr>
                <w:rFonts w:eastAsia="Times New Roman"/>
                <w:color w:val="000000" w:themeColor="text1"/>
              </w:rPr>
            </w:r>
            <w:r>
              <w:rPr>
                <w:rFonts w:eastAsia="Times New Roman"/>
                <w:color w:val="000000" w:themeColor="text1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1.7. Изменение сети дошкольных образовательных организаций (в том числе ликвидация и реорганизация организаций, осуществляющих образовательную деятельность)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29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1.7.1. Изменение числа организаций (обособленных подразделений (филиалов), осуществляющих образовательную деятельность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 образовательным программам дошкольного образования, присмотр и уход за детьми: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дошкольные образовательные организации;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93,5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13,79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обособленные подразделения (филиалы) дошкольных образовательных организаций;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обособленные подразделения (филиалы) общеобразовательных организаций;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общеобразовательные организации, имеющие подразделения (группы), которые осуществляют образовательную деятельность по образовательным программам дошкольного образования, присмотр и уход за детьми;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обособленные подразделения (филиалы) профессиональных образовательных организаций и образовательных организаций высшего образования;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иные организации, имеющие специализированные структурные образовательные подразделения, которые осуществляют образовательную деятельность по образовательным программам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1.8. Финансово-экономическая деятельность дошкольных образовательных организаций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1.8.1. Расхо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ды консолидированного бюджета Российской Федерации на дошкольное образование в расчете на одного ребенка, посещающего организацию, осуществляющую образовательную деятельность по образовательным программам дошкольного образования, присмотр и уход за детьми.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 w:eastAsia="en-US"/>
              </w:rPr>
              <w:t xml:space="preserve">398,64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eastAsia="en-US"/>
              </w:rPr>
              <w:t xml:space="preserve">462,59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 w:eastAsia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1.9. Создание безопасных условий при организации образовательного процесса в дошкольных образовательных организациях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1.9.1. Удельный вес числа зданий дошкольных образовательных организаций, находящихся в аварийном состоянии, в общем числе зданий дошкольных образовательных организаций.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eastAsia="Times New Roman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1.9.2. Удельный вес числа зданий дошкольных образовательных организаций, требующих капитального ремонта, в общем числе зданий дошкольных образовательных организаций.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eastAsia="Times New Roman"/>
                <w:highlight w:val="whit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 xml:space="preserve">2. Сведения о развитии начального общего образования, основного общего образования и среднего общего образования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 Уровень доступности начального общего образования, основного общего образования и среднего общего образования и численность населения, получающего начальное общее, основное общее и среднее общее 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2.1.1. Охват детей общим образ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ованием (отношение численности обучающихся по образовательным программам начального общего, основного общего, среднего общего образования и обучающихся с умственной отсталостью (интеллектуальными нарушениями) к численности детей в возрасте от 7 до 18 лет).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87,0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87,9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2.1.2. Удельный вес численности обучающихся по образовательным программам, соответс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твующим федеральным государственным образовательным стандартам начального общего, основного общего, среднего общего образования, в общей численности обучающихся по образовательным программам начального общего, основного общего, среднего общего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100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3. Удельный вес численности обучающихся, продолживших обучение по образовательным программам среднего общего образования, в общей численности обучающихся, получивших аттестат об основном общем образовании по итогам учебного года, предшествующего отчетному.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65,3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61,5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2.1.4. Наполняемость классов по уровням общего образования: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0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начальное общее образование (1 - 4 классы);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27,5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27,2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основное общее образование (5 - 9 классы);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25,5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27,1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среднее общее образование (10 - 11 (12) классы).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21,5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24,4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2.1.5. Удельный вес численности обучающихся, охваченных подвозом, в общей численности обучающихся, нуждающихся в подвозе в общеобразовательные организации.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100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2.1.6. Оценка родителями обучающихся общеобразовательных организаций возможности выбора общеобразовательно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й организации (удельный вес численности родителей обучающихся, отдавших своих детей в конкретную общеобразовательную организацию по причине отсутствия других вариантов для выбора, в общей численности родителей обучающихся общеобразовательных организаций). </w:t>
            </w:r>
            <w:hyperlink w:tooltip="&lt;*&gt; - сбор данных осуществляется в целом по Российской Федерации без детализации по субъектам Российской Федерации;" w:anchor="Par1612" w:history="1">
              <w:r>
                <w:rPr>
                  <w:rFonts w:ascii="Times New Roman" w:hAnsi="Times New Roman" w:eastAsia="Times New Roman" w:cs="Times New Roman"/>
                  <w:sz w:val="24"/>
                  <w:szCs w:val="24"/>
                </w:rPr>
                <w:t xml:space="preserve">&lt;*&gt;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-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2.2. Содержание образовательной деятельности и организация образовательного процесса по образовательным программам начального общего образования, основного общего образования и среднего общего образования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2.2.1. Удельный вес численности обучающихся в первую смену в общей численности обучающихся по образовательным программам начального общего, основного общего, среднего общего образования по очной форме обучения.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84,3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85,5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2.2.2. Удельный вес численности обучающихся, углубленно изучающих отдельные учебные предметы, в общей численности обучающихся по образовательным программам начального общего, основного общего, среднего общего образования.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12,0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21,1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2.2.3. Удельный вес численности обучающихся в классах (группах) профильного обучения в общей численности обучающихся в 10 - 11 (12) классах по образовательным программам среднего общего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100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2.2.4. Удельный вес численности обучающихся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 использованием дистанционных образовательных технологий в общей численности обучающихся по образовательным программам начального общего, основного общего, среднего общего образования и обучающихся с умственной отсталостью (интеллектуальными нарушениями).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100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2.2.5. Доля несовершеннолетних, состоящих на различных видах учета, обучающихся по образовательным программам начального общего образования,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основного общего образования и среднего общего образования.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0,4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  <w:p>
            <w:pPr>
              <w:pStyle w:val="1204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1,4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2.3. Кадровое обеспечение общеобразовательных организаций, иных организаций, осуществляющих образовательную деятельность в части реализации основных общеобразовательных программ, а также оценка уровня заработной платы педагогических работников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2.3.1. Численность обучающихся по образовательным программам начального общего, основного общего, среднего общего образования и обучающихся с умственной отсталостью (интеллектуальными нарушениями) в расчете на одного педагогического работника.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человек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17,7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17,9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2.3.2. Удельный вес численности учителей в возрасте до 35 лет в общей численности учителей (без внешних совместителей и работающих по договорам гражданско-правового характера) организаций, осущес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твляющих образовательную деятельность по образовательным программам начального общего, основного общего, среднего общего образования, в том числе адаптированным, и программам образования обучающихся с умственной отсталостью (интеллектуальными нарушениями).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29,1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28,2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2.3.3. Отношение среднемесячной заработной платы педагогических работников государственных и муни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ципальных общеобразовательных организаций к среднемесячной начисленной заработной плате наемных работников в организациях, у индивидуальных предпринимателей и физических лиц (среднемесячному доходу от трудовой деятельности) в субъекте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17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2.3.4. Удельный вес численности педагогических работников в общей численности работников (без внешних совместителей и работающих по договорам гражданско-правового характера) организаций, осущес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твляющих образовательную деятельность по образовательным программам начального общего, основного общего, среднего общего образования, в том числе адаптированным, и программам образования обучающихся с умственной отсталостью (интеллектуальными нарушениями).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2.3.5. Удельный вес числа организаций, имеющих в составе педагогических работников социальных педагогов, педагогов-психологов, учителей-логопедов, учителей-дефектологов, в общем числе организаций, осуществляющих образовательную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деятельность по образовательным программам начального общего, основного общего, среднего общего образования, в том числе адаптированным, и программам образования обучающихся с умственной отсталостью (интеллектуальными нарушениями):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социальных педагогов: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3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 них в штате;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педагогов-психологов: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>
          <w:trHeight w:val="13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 них в штате;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учителей-логопедов: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из них в штате;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учителей-дефектологов: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всего,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 них в штате.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 Материально-техническое и информационное обеспечение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2.4.1. Учебная площадь организаций, реализующих образовательные программы начального общего, основного общего, среднего общего образования, в расчете на одного обучающегося.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квадратный метр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9,2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9,2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2.4.2. Удельный вес числа общеобразовательных организаций, имеющих все виды благоустройства (водопровод, центральное отопление, канализация), в общем числе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2.4.3. Число персональных компьютеров, используемых в учебных целях, в расчете на 100 обучающихся общеобразовательных организаций: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всего;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24,5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имеющих доступ к информационно-телекоммуникационной сети "Интернет".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contextualSpacing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17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2.4.4. Доля образовательных организаций, реализующих образовательные программы начального общего, основного общего, среднего общего образования, обеспеченных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интернет-соединением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со скоростью соединения не менее 100 Мб/с – для образовательных организаций, расположенных в городах, 50 Мб/с – для образовательных организаций, расположенных в сельской местности и поселках городского типа.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2.4.5. Удельный вес числа общеобразовательных организаций, использующих электронный журнал, электронный дневник, в общем числе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 Условия получения начального общего, основного общего и среднего общего образования лицами с ограниченными возможностями здоровья и инвалидами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2.5.1. Удельный вес числа зданий, в которых созданы условия для беспрепятственного доступа инвалидов, в общем числе зданий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2.5.2. Распределение численности обучающихся с ограниченными возможностями здоровья и инвалидностью по реализации образовательных программ начального общего, основного общего, среднего общего образовани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я в формах: совместного обучения с другими обучающимися (инклюзии), в отдельных классах, группах или в отдельных образовательных организациях, осуществляющих реализацию адаптированных основных образовательных программ начального общего, основного общего 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среднего общего образования: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cyan"/>
              </w:rPr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отдельных организациях, осуществляющих образовательную деятельность по адаптированным образовательным программам начального общего, основного общего и среднего общего образования, – всего,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 них инвалидов, детей-инвалидов;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-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отдельных классах, осуществляющих образовательную деятельность по адаптированным образовательным программам начального общего, основного общего образования, – всего,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28,6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eastAsia="Times New Roman"/>
                <w:highlight w:val="white"/>
              </w:rPr>
              <w:t xml:space="preserve">34.3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 них инвалидов, детей-инвалидов;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10,1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11.2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формате совместного обучения (инклюзии) – всего,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en-US"/>
              </w:rPr>
              <w:t xml:space="preserve">72,8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67.3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 них инвалидов, детей-инвалидов.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91,0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  <w:lang w:val="en-US"/>
              </w:rPr>
              <w:t xml:space="preserve">91</w:t>
            </w:r>
            <w:r>
              <w:rPr>
                <w:rFonts w:eastAsia="Times New Roman"/>
                <w:highlight w:val="white"/>
              </w:rPr>
              <w:t xml:space="preserve">,0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2.5.3. Удельный вес численности обучающихся в со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ответствии с федеральным государственным образовательным стандартом начального общего образования обучающихся с ограниченными возможностями здоровья в общей численности обучающихся по адаптированным образовательным программам начального общего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64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auto"/>
                <w:highlight w:val="white"/>
              </w:rPr>
            </w:pPr>
            <w:r>
              <w:rPr>
                <w:rFonts w:eastAsia="Times New Roman"/>
                <w:color w:val="auto"/>
                <w:highlight w:val="none"/>
              </w:rPr>
              <w:t xml:space="preserve">64,2</w:t>
            </w:r>
            <w:r>
              <w:rPr>
                <w:rFonts w:eastAsia="Times New Roman"/>
                <w:color w:val="auto"/>
                <w:highlight w:val="white"/>
              </w:rPr>
            </w:r>
            <w:r>
              <w:rPr>
                <w:rFonts w:eastAsia="Times New Roman"/>
                <w:color w:val="auto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2.5.4. Удельный вес численности обучающихся в соответствии с федеральным государственным образовательным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стандартом образования обучающихся с умственной отсталостью (интеллектуальными нарушениями) в общей численности обучающихся по адаптированным основным общеобразовательным программам для обучающихся с умственной отсталостью (интеллектуальными нарушениями).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100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2.5.5. Укомплектованность отдельных общеобразовательных организаций, осу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ществляющих обучение по адаптированным образовательным программам начального общего, основного общего и среднего общего образования, в том числе адаптированным, и программам образования обучающихся с умственной отсталостью (интеллектуальными нарушениями),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педагогическими работниками: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всего;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учителя-дефектологи;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педагоги-психологи;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учителя-логопеды;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социальные педагоги;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тьюторы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2.5.6. Численность обучающихся по адаптированным основным общеобразовательным программам в расчете на одного работника: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учителя-дефектолога;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61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shd w:val="clear" w:color="ffffff" w:themeColor="background1" w:fill="ffffff" w:themeFill="background1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none"/>
              </w:rPr>
              <w:t xml:space="preserve">76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учителя-логопеда;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32,4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shd w:val="clear" w:color="ffffff" w:themeColor="background1" w:fill="ffffff" w:themeFill="background1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none"/>
              </w:rPr>
              <w:t xml:space="preserve">36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педагога-психолога;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11,3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shd w:val="clear" w:color="ffffff" w:themeColor="background1" w:fill="ffffff" w:themeFill="background1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none"/>
              </w:rPr>
              <w:t xml:space="preserve">11,8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тьютора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, ассистента (помощника).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96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shd w:val="clear" w:color="ffffff" w:themeColor="background1" w:fill="ffffff" w:themeFill="background1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none"/>
              </w:rPr>
              <w:t xml:space="preserve">121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gridSpan w:val="2"/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left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2.5.7. Распределение численности детей, обучающихся по адаптированным образовательным программам начального общего, основного общего и среднего общего образования, по видам программ: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для глухих;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tabs>
                <w:tab w:val="left" w:pos="3933" w:leader="none"/>
              </w:tabs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для слабослышащих и позднооглохших;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1,5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1,6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для слепых;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highlight w:val="white"/>
              </w:rPr>
            </w:r>
            <w:r>
              <w:rPr>
                <w:rFonts w:ascii="Times New Roman" w:hAnsi="Times New Roman" w:cs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для слабовидящих;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3,4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3,6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тяжелыми нарушениями речи;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6,7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6,9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нарушениями опорно-двигательного аппарата;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4,1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4,2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задержкой психического развития;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72,5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73,3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 расстройствами аутистического спектра;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0.4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0,5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 сложными дефектами;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-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других обучающихся с ограниченными возможностями здоровья.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  <w:lang w:val="en-US"/>
              </w:rPr>
              <w:t xml:space="preserve">11,0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highlight w:val="white"/>
              </w:rPr>
            </w:pPr>
            <w:r>
              <w:rPr>
                <w:rFonts w:eastAsia="Times New Roman"/>
                <w:highlight w:val="white"/>
              </w:rPr>
              <w:t xml:space="preserve">12</w:t>
            </w:r>
            <w:r>
              <w:rPr>
                <w:rFonts w:eastAsia="Times New Roman"/>
                <w:highlight w:val="white"/>
              </w:rPr>
            </w:r>
            <w:r>
              <w:rPr>
                <w:rFonts w:eastAsia="Times New Roman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2.6. Состояние здоровья лиц, обучающихся по основным общеобразовательным программам,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здоровьесберегающие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условия, условия организации физкультурно-оздоровительной и спортивной работы в общеобразовательных организациях, а также в иных организациях, осуществляющих образовательную деятельность в части реализации основных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2.6.1. Удельный вес численности лиц, обеспеченных горячим питанием, в общей численности обучающихся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2.6.2. Удельный вес числа организаций, имеющих логопедический пункт или логопедический кабинет, в общем числе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54,5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63,6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2.6.3. Удельный вес числа организаций, имеющих спортивные залы, в общем числе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2.6.4. Удельный вес числа организаций, имеющих закрытые плавательные бассейны, в общем числе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2.7. Изменение сети организаций, осуществляющих образовательную деятельность по основным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2.7.1. Темп роста числа организаций (филиалов), осущес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твляющих образовательную деятельность по образовательным программам начального общего, основного общего, среднего общего образования, в том числе адаптированным, и программам образования обучающихся с умственной отсталостью (интеллектуальными нарушениями).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2.8. Финансово-экономическая деятельность общеобразовательных организаций, а также иных организаций, осуществляющих образовательную деятельность в части реализации основных общеобразовательных программ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2.8.1. Общий объем финансовых средств, поступивших в общеобразовательные организации, в расчете на одного обучающегося.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205,38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220,8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32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2.8.2. Удельный вес финансовых средств от приносящей доход деятельности в общем объеме финансовых средств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 w:eastAsiaTheme="minorEastAsia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white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none"/>
                <w:lang w:eastAsia="ru-RU"/>
              </w:rPr>
              <w:t xml:space="preserve">-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white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4"/>
                <w:szCs w:val="24"/>
                <w:highlight w:val="white"/>
                <w:lang w:eastAsia="ru-RU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2.9. Создание безопасных условий при организации образовательного процесса в общеобразовательных организациях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2.9.1. Удельный вес числа зданий общеобразовательных организаций, имеющих охрану, в общем числе зданий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2.9.2. Удельный вес числа зданий общеобразовательных организаций, находящихся в аварийном состоянии, в общем числе зданий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0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2.9.3. Удельный вес числа зданий общеобразовательных организаций, требующих капитального ремонта, в общем числе зданий общеобразовательных организаций.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6,06</w:t>
            </w:r>
            <w:r>
              <w:rPr>
                <w:rFonts w:eastAsia="Times New Roman"/>
                <w:color w:val="000000" w:themeColor="text1"/>
                <w:highlight w:val="white"/>
              </w:rPr>
            </w:r>
            <w:r>
              <w:rPr>
                <w:rFonts w:eastAsia="Times New Roman"/>
                <w:color w:val="00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III.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Дополнительное образование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val="en-US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  <w:t xml:space="preserve">. Сведения о развитии дополнительного образования детей и взрослых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 Численность населения, обучающегося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5.1.1. Охват детей дополнительными общеобразовательными программами (отношение численности обучающихся по дополнительным общеобразовательным программам к численности детей в возрасте от 5 до 18 лет).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  <w:t xml:space="preserve">50,65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/>
              </w:rPr>
              <w:t xml:space="preserve">5</w:t>
            </w:r>
            <w:r>
              <w:rPr>
                <w:rFonts w:eastAsia="Times New Roman"/>
                <w:color w:val="000000" w:themeColor="text1"/>
                <w:highlight w:val="white"/>
                <w:lang w:val="en-US"/>
              </w:rPr>
              <w:t xml:space="preserve">3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.1.2. Структура численности детей, обучающихся по дополнительным общеобразовательным программам, по направлениям (*)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0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техническое;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 w:eastAsia="en-US"/>
              </w:rPr>
              <w:t xml:space="preserve">7,6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7,85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835/10625*100%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естественнонаучное;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 w:eastAsia="en-US"/>
              </w:rPr>
              <w:t xml:space="preserve">16,57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16,35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1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738/10625*100%</w:t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туристско-краеведческое;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3,6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3,04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3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23/10625*1</w:t>
            </w:r>
            <w:r>
              <w:rPr>
                <w:rFonts w:eastAsia="Times New Roman"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00%</w:t>
            </w:r>
            <w:r>
              <w:rPr>
                <w:rFonts w:eastAsia="Times New Roman"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социально-педагогическое;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12,79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13,05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1387/10625*100%</w:t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eastAsia="en-US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7" w:type="dxa"/>
            <w:vMerge w:val="restart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художественное;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44,65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48,46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5149/10625*100%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7" w:type="dxa"/>
            <w:vMerge w:val="restart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физкультурно-спортивное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14,77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  <w:lang w:val="en-US" w:eastAsia="en-US"/>
              </w:rPr>
              <w:t xml:space="preserve">11,39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  <w:lang w:val="en-US" w:eastAsia="en-US"/>
              </w:rPr>
              <w:t xml:space="preserve">1210/10625*100%</w:t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области искусств: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>
          <w:trHeight w:val="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общеразвивающим программам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37,8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37,8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предпрофессиональным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62,2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62,2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  <w:lang w:eastAsia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 области физической культуры и спорта: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общеразвивающим программам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26,4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28,2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 предпрофессиональным программам (спортивной подготовки)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73,6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71,8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>
          <w:trHeight w:val="6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5.1.3. Удельный вес численности обучающихся (занимающихся) с использованием сетевых форм реализации дополнительных общеобразовательных программ в общей численности обучающихся по дополнительным общеобразовательным программам или занимающихся по программам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спортивной подготовки в физкультурно-спортивных организациях.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0,8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0,8</w:t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</w:p>
        </w:tc>
      </w:tr>
      <w:tr>
        <w:tblPrEx/>
        <w:trPr>
          <w:trHeight w:val="6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07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5.1.4. Удельный вес численности обучающихся (занимающихся) с использованием дистанционных образовательных технологий, электронного обучения в общей численности обучающихся по дополнительным общеобразовательным программам или занимающихся по программам спор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тивной подготовки в физкультурно-спортивных организациях.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9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vMerge w:val="restart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highlight w:val="none"/>
              </w:rPr>
              <w:t xml:space="preserve">0</w:t>
            </w:r>
            <w:r>
              <w:rPr>
                <w:rFonts w:eastAsia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eastAsia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>
          <w:trHeight w:val="67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rPr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5.1.5. Отношение численности детей, обучающихся по дополнительным общеобразовательным программам по договорам об оказании платных образовательных услуг, услуг по спортивной подготовке, к численности детей, обучающихся за счет бюджетных ассигнований, в том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числе за счет средств федерального бюджета, бюджета субъекта Российской Федерации и местного бюджета.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15,11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3373/22333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sz w:val="24"/>
                <w:szCs w:val="24"/>
                <w:highlight w:val="white"/>
              </w:rPr>
            </w:pPr>
            <w:r>
              <w:rPr>
                <w:rFonts w:eastAsia="Times New Roman"/>
                <w:color w:val="000000" w:themeColor="text1"/>
                <w:sz w:val="24"/>
                <w:szCs w:val="24"/>
                <w:highlight w:val="white"/>
              </w:rPr>
              <w:t xml:space="preserve">28,98</w:t>
            </w:r>
            <w:r>
              <w:rPr>
                <w:rFonts w:eastAsia="Times New Roman"/>
                <w:color w:val="ff0000" w:themeColor="text1"/>
                <w:sz w:val="24"/>
                <w:szCs w:val="24"/>
                <w:highlight w:val="white"/>
              </w:rPr>
            </w:r>
            <w:r>
              <w:rPr>
                <w:rFonts w:eastAsia="Times New Roman"/>
                <w:color w:val="ff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5973/20613*100%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>
          <w:trHeight w:val="325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.2. Содержание образовательной деятельности и организация образовательного процесса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 w:line="288" w:lineRule="atLeast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.2.1.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Удельный вес численности детей с ограниченными возможностями здоровья в общей численности обучающихся в организациях дополнительного образования.</w:t>
            </w:r>
            <w:r>
              <w:rPr>
                <w:rFonts w:ascii="Times New Roman" w:hAnsi="Times New Roman" w:eastAsia="Times New Roman" w:cs="Times New Roman"/>
                <w:sz w:val="24"/>
              </w:rPr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3,36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sz w:val="18"/>
                <w:szCs w:val="18"/>
                <w:highlight w:val="white"/>
              </w:rPr>
              <w:t xml:space="preserve">863/25706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ff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4,2</w:t>
            </w:r>
            <w:r>
              <w:rPr>
                <w:rFonts w:ascii="Times New Roman" w:hAnsi="Times New Roman" w:eastAsia="Times New Roman" w:cs="Times New Roman"/>
                <w:color w:val="ff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ff0000" w:themeColor="text1"/>
                <w:sz w:val="24"/>
                <w:szCs w:val="24"/>
                <w:highlight w:val="lightGray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1114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/26566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ascii="Times New Roman" w:hAnsi="Times New Roman" w:cs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.2.2. Удельный вес численности детей с ограниченными возможностями здоровья (за исключением детей-инвалидов) в общей численности обучающихся в организациях, осуществляющих образовательную деятельность по дополнительным общеобразовательным программам (*).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3,29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18"/>
                <w:szCs w:val="18"/>
                <w:highlight w:val="white"/>
              </w:rPr>
              <w:t xml:space="preserve">844/25706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3,68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  <w:p>
            <w:pPr>
              <w:pStyle w:val="1204"/>
              <w:jc w:val="center"/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977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26566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.2.3. Удельный вес численности детей-инвалидов в общей численности обучающихся в организациях, осуществляющих образовательную деятельность по дополнительным общеобразовательным программам (*).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0,3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77/25706</w:t>
            </w:r>
            <w:r>
              <w:rPr>
                <w:rFonts w:ascii="Times New Roman" w:hAnsi="Times New Roman" w:eastAsia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0,52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  <w:p>
            <w:pPr>
              <w:pStyle w:val="1204"/>
              <w:jc w:val="center"/>
              <w:rPr>
                <w:rFonts w:eastAsia="Times New Roman"/>
                <w:i w:val="0"/>
                <w:iCs w:val="0"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 w:val="0"/>
                <w:iCs w:val="0"/>
                <w:color w:val="000000" w:themeColor="text1"/>
                <w:sz w:val="18"/>
                <w:szCs w:val="18"/>
                <w:highlight w:val="white"/>
              </w:rPr>
              <w:t xml:space="preserve">137</w:t>
            </w:r>
            <w:r>
              <w:rPr>
                <w:rFonts w:eastAsia="Times New Roman"/>
                <w:i w:val="0"/>
                <w:iCs w:val="0"/>
                <w:color w:val="000000" w:themeColor="text1"/>
                <w:sz w:val="18"/>
                <w:szCs w:val="18"/>
                <w:highlight w:val="white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18"/>
                <w:szCs w:val="18"/>
                <w:highlight w:val="white"/>
              </w:rPr>
              <w:t xml:space="preserve">26566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 w:themeColor="text1"/>
                <w:sz w:val="18"/>
                <w:szCs w:val="18"/>
                <w:highlight w:val="white"/>
              </w:rPr>
              <w:t xml:space="preserve">*100%</w:t>
            </w:r>
            <w:r>
              <w:rPr>
                <w:rFonts w:eastAsia="Times New Roman"/>
                <w:i w:val="0"/>
                <w:iCs w:val="0"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 w:val="0"/>
                <w:iCs w:val="0"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 Кадровое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1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.3.1. Отношение среднемесячной з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аработной платы педагогических работников государственных (муниципальных) организаций, осуществляющих образовательную деятельность по дополнительным общеобразовательным программам, к среднемесячной заработной плате учителей в субъекте Российской Федерации.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100,1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100,1</w:t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.3.2. Удельный вес численности педагогов дополнительного образования в общей численности педагогических работников организаций, осуществляющих образовательную деятельность по дополнительным общеобразовательным программам: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всего;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91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91,78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506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559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внешние совместители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3,0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внешних совместителей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общая численность работников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организаций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47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1269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.3.3. Удельный вес численн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ости педагогов дополнительного образования, получивших образование по укрупненной группе специальностей и направлений подготовки высшего образования "Образование и педагогические науки" и укрупненной группе специальностей среднего профессионального образов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ания "Образование и педагогические науки", в общей численности педагогов дополнительного образования (без внешних совместителей и работающих по договорам гражданско-правового характера) организаций, реализующих дополнительные общеобразовательные программы.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94,94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педагогов дополнительного образования (без внешних совместителей и работающих по договорам гражданско-правового характера),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получивших образование по укрупненным группам специальностей и направлений подготовки высшего и среднего профессионального образования  "Образование и педагогические науки"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487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.3.4. Удельный вес численности педагогов дополнител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ьного образования в возрасте моложе 35 лет в общей численности педагогов дополнительного образования (без внешних совместителей и работающих по договорам гражданско-правового характера) организаций, реализующих дополнительные общеобразовательные программы.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29,65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27,20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  <w:p>
            <w:pPr>
              <w:pStyle w:val="1204"/>
              <w:jc w:val="center"/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pP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1</w:t>
            </w:r>
            <w:r>
              <w:rPr>
                <w:rFonts w:eastAsia="Times New Roman"/>
                <w:i/>
                <w:iCs/>
                <w:color w:val="000000" w:themeColor="text1"/>
                <w:sz w:val="18"/>
                <w:szCs w:val="18"/>
                <w:highlight w:val="white"/>
              </w:rPr>
              <w:t xml:space="preserve">52/559*100%</w:t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  <w:r>
              <w:rPr>
                <w:rFonts w:eastAsia="Times New Roman"/>
                <w:i/>
                <w:iCs/>
                <w:color w:val="ff0000" w:themeColor="text1"/>
                <w:sz w:val="18"/>
                <w:szCs w:val="18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педагогических работников в возрасте моложе 35 лет (без внешних совместителей и работающих по договорам гражданско-правового характера) организаций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150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white"/>
              </w:rPr>
            </w:pPr>
            <w:r>
              <w:rPr>
                <w:rFonts w:eastAsia="Times New Roman"/>
                <w:color w:val="000000" w:themeColor="text1"/>
                <w:highlight w:val="white"/>
              </w:rPr>
              <w:t xml:space="preserve">1</w:t>
            </w:r>
            <w:r>
              <w:rPr>
                <w:rFonts w:eastAsia="Times New Roman"/>
                <w:color w:val="000000" w:themeColor="text1"/>
                <w:highlight w:val="white"/>
              </w:rPr>
              <w:t xml:space="preserve">52</w:t>
            </w:r>
            <w:r>
              <w:rPr>
                <w:rFonts w:eastAsia="Times New Roman"/>
                <w:color w:val="ff0000" w:themeColor="text1"/>
                <w:highlight w:val="white"/>
              </w:rPr>
            </w:r>
            <w:r>
              <w:rPr>
                <w:rFonts w:eastAsia="Times New Roman"/>
                <w:color w:val="ff0000" w:themeColor="text1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общая численность педагогических работников (без внешних совместителей и работающих по договорам гражданско-правового характера) организаций дополнительного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506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559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</w:tc>
      </w:tr>
      <w:tr>
        <w:tblPrEx/>
        <w:trPr>
          <w:trHeight w:val="332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 Материально-техническое и информационное обеспечение организаций, осуществляющих образовательную деятельность в части реализации дополнительных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.4.1. Общая площадь всех помещений организаций, осуществляющих образовательную деятельность по дополнительным общеобразовательным программам, в расчете на одного обучающегося.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квадратный метр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общая площадь всех помещений образовательных организаций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квадратный метр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63849,9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63849,9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детей, обучающихся в образовательных организациях дополнительного образования (включая филиалы)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25706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26566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03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.4.2. Удельный вес числа организаций, имеющих следующие виды благоустройства, в общем числе организаций, осуществляющих образовательную деятельность по дополнительным общеобразовательным программам: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0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Водопровод;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центральное отопление;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34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канализацию;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пожарную сигнализацию;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19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дымовые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извещатели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100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16"/>
                <w:szCs w:val="16"/>
                <w:highlight w:val="white"/>
                <w:vertAlign w:val="superscript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пожарные краны и рукав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sz w:val="16"/>
                <w:szCs w:val="16"/>
                <w:highlight w:val="white"/>
                <w:vertAlign w:val="superscript"/>
              </w:rPr>
              <w:t xml:space="preserve">;</w:t>
            </w:r>
            <w:r>
              <w:rPr>
                <w:rStyle w:val="1186"/>
                <w:rFonts w:ascii="Times New Roman" w:hAnsi="Times New Roman" w:eastAsia="Times New Roman" w:cs="Times New Roman"/>
                <w:sz w:val="16"/>
                <w:szCs w:val="16"/>
                <w:highlight w:val="white"/>
                <w:vertAlign w:val="superscript"/>
              </w:rPr>
              <w:footnoteReference w:id="9"/>
            </w:r>
            <w:r>
              <w:rPr>
                <w:rFonts w:ascii="Times New Roman" w:hAnsi="Times New Roman" w:cs="Times New Roman"/>
                <w:sz w:val="16"/>
                <w:szCs w:val="16"/>
                <w:highlight w:val="white"/>
                <w:vertAlign w:val="superscript"/>
              </w:rPr>
            </w:r>
            <w:r>
              <w:rPr>
                <w:rFonts w:ascii="Times New Roman" w:hAnsi="Times New Roman" w:cs="Times New Roman"/>
                <w:sz w:val="16"/>
                <w:szCs w:val="16"/>
                <w:highlight w:val="white"/>
                <w:vertAlign w:val="superscript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5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системы видеонаблюдения;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11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"тревожную кнопку".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 - водопровод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 - центральное отопление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 - канализацию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 - пожарную сигнализацию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дымовые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извещатели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филиалы), реализующих дополнительные общеобразовательные программы для детей, имеющих - пожарные краны и рукава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6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- системы видеонаблюдения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96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детей, имеющих - "тревожную кнопку"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образовательных организаций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28"/>
        </w:trPr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.4.3. Число персональных компьютеров, используемых в учебных целях, в расчете на 100 обучающихся организаций, осуществляющих образовательную деятельность по дополнительным общеобразовательным программам: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всего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1,88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ff0000" w:themeColor="text1"/>
                <w:highlight w:val="lightGray"/>
              </w:rPr>
            </w:pPr>
            <w:r>
              <w:rPr>
                <w:color w:val="000000" w:themeColor="text1"/>
                <w:highlight w:val="none"/>
              </w:rPr>
              <w:t xml:space="preserve">1,75</w:t>
            </w:r>
            <w:r>
              <w:rPr>
                <w:color w:val="ff0000" w:themeColor="text1"/>
                <w:highlight w:val="lightGray"/>
              </w:rPr>
            </w:r>
            <w:r>
              <w:rPr>
                <w:color w:val="ff0000" w:themeColor="text1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имеющих доступ к информационно-телекоммуникационной сети "Интернет".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1,2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ff0000" w:themeColor="text1"/>
                <w:highlight w:val="lightGray"/>
              </w:rPr>
            </w:pPr>
            <w:r>
              <w:rPr>
                <w:color w:val="000000" w:themeColor="text1"/>
                <w:highlight w:val="none"/>
              </w:rPr>
              <w:t xml:space="preserve">1,47</w:t>
            </w:r>
            <w:r>
              <w:rPr>
                <w:color w:val="ff0000" w:themeColor="text1"/>
                <w:highlight w:val="lightGray"/>
              </w:rPr>
            </w:r>
            <w:r>
              <w:rPr>
                <w:color w:val="ff0000" w:themeColor="text1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персональных компьютеров, используемых в учебных целях, в образовательных организациях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485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ff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464</w:t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  <w:r>
              <w:rPr>
                <w:rFonts w:eastAsia="Times New Roman"/>
                <w:color w:val="ff0000" w:themeColor="text1"/>
                <w:highlight w:val="lightGray"/>
              </w:rPr>
            </w:r>
          </w:p>
        </w:tc>
      </w:tr>
      <w:tr>
        <w:tblPrEx/>
        <w:trPr>
          <w:trHeight w:val="9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персональных к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омпьютеров, используемых в учебных целях, имеющих доступ к информационно-телекоммуникационной сети "Интернет", в образовательных организациях дополнительного образования (включая филиалы), реализующих дополнительные общеобразовательные программы для детей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312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390</w:t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детей, обучающихся в образовательных организациях дополнительного образования (включая филиалы)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25706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26566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eastAsia="Times New Roman"/>
                <w:color w:val="000000" w:themeColor="text1"/>
                <w:highlight w:val="lightGray"/>
              </w:rPr>
            </w:pPr>
            <w:r>
              <w:rPr>
                <w:rFonts w:eastAsia="Times New Roman"/>
                <w:color w:val="000000" w:themeColor="text1"/>
                <w:highlight w:val="lightGray"/>
              </w:rPr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  <w:r>
              <w:rPr>
                <w:rFonts w:eastAsia="Times New Roman"/>
                <w:color w:val="000000" w:themeColor="text1"/>
                <w:highlight w:val="lightGray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.5. Изменение сети организаций, осуществляющих образовательную деятельность по дополнительным общеобразовательным программам (в том числе ликвидация и реорганизация организаций, осуществляющих образовательную деятельность)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.5.1. Темп роста числа организаций (филиалов), осуществляющих образовательную деятельность по дополнительным общеобразовательным программам.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музыкальных, художественных, хореографических школ и школ искусств в отчетном году t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число музыкальных, художественных, хореографических школ и школ искусств в году t-1, предшествовавшем отчетному году t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.6. Финансово-экономическая деятельность организаций, осуществляющих образовательную деятельность в части обеспечения реализации дополнительных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.6.1. Общий объем финансовых средств, поступивших в организации, осуществляющие образовательную деятельность по дополнительным общеобразовательным программам, в расчете на одного обучающегося.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91,26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общий объем финансирования образовательных организаций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2 345 749,73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color w:val="000000" w:themeColor="text1"/>
                <w:highlight w:val="cyan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2 391 998,41</w:t>
            </w:r>
            <w:r>
              <w:rPr>
                <w:color w:val="000000" w:themeColor="text1"/>
                <w:highlight w:val="cyan"/>
              </w:rPr>
            </w:r>
            <w:r>
              <w:rPr>
                <w:color w:val="000000" w:themeColor="text1"/>
                <w:highlight w:val="cyan"/>
              </w:rPr>
            </w:r>
          </w:p>
        </w:tc>
      </w:tr>
      <w:tr>
        <w:tblPrEx/>
        <w:trPr>
          <w:trHeight w:val="33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численность детей, обучающихся в образовательных организациях дополнительного образования (включая филиалы)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человек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25 706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</w:rPr>
              <w:t xml:space="preserve">26 566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lightGray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.6.2. Удельный вес финансовых средств от иной приносящей доход деятельности в общем объеме финансовых средств организаций, осуществляющих образовательную деятельность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  <w:t xml:space="preserve">2,59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en-US"/>
              </w:rPr>
              <w:t xml:space="preserve">2,61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/>
              </w:rPr>
            </w:r>
          </w:p>
        </w:tc>
      </w:tr>
      <w:tr>
        <w:tblPrEx/>
        <w:trPr>
          <w:trHeight w:val="7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объем средств от приносящей доход деятельности (внебюджетных средств), поступивших в образовательные организации дополнительного образования (включая филиалы), реализующие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  <w:t xml:space="preserve">60 723,6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eastAsia="ru-RU"/>
              </w:rPr>
              <w:t xml:space="preserve">62 428,84</w:t>
            </w: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r>
          </w:p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  <w:lang w:val="en-US" w:eastAsia="ru-RU"/>
              </w:rPr>
            </w:r>
          </w:p>
        </w:tc>
      </w:tr>
      <w:tr>
        <w:tblPrEx/>
        <w:trPr>
          <w:trHeight w:val="5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общий объем финансирования образовательных организаций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2 345 749,73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color w:val="000000" w:themeColor="text1"/>
                <w:highlight w:val="cyan"/>
              </w:rPr>
            </w:pPr>
            <w:r>
              <w:rPr>
                <w:rFonts w:eastAsia="Times New Roman"/>
                <w:color w:val="000000" w:themeColor="text1"/>
                <w:highlight w:val="none"/>
              </w:rPr>
              <w:t xml:space="preserve">2 391 998,41</w:t>
            </w:r>
            <w:r>
              <w:rPr>
                <w:color w:val="000000" w:themeColor="text1"/>
                <w:highlight w:val="cyan"/>
              </w:rPr>
            </w:r>
            <w:r>
              <w:rPr>
                <w:color w:val="000000" w:themeColor="text1"/>
                <w:highlight w:val="cyan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43"/>
        </w:trPr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.6.3. Удельный вес источников финансирования дополнительных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6,2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7</w:t>
            </w:r>
            <w:bookmarkStart w:id="0" w:name="undefined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bookmarkEnd w:id="0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2,68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средства федерального бюджета, бюджета субъекта Российской Федерации и местного бюджета;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86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267,52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highlight w:val="cyan"/>
              </w:rPr>
            </w:pPr>
            <w:r>
              <w:rPr>
                <w:rFonts w:eastAsia="Times New Roman"/>
                <w:highlight w:val="none"/>
              </w:rPr>
              <w:t xml:space="preserve">2 329 569,57</w:t>
            </w:r>
            <w:r>
              <w:rPr>
                <w:highlight w:val="cyan"/>
              </w:rPr>
            </w:r>
            <w:r>
              <w:rPr>
                <w:highlight w:val="cyan"/>
              </w:rPr>
            </w:r>
          </w:p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средства, поступившие от иной приносящей доход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тысяча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white"/>
              </w:rPr>
              <w:t xml:space="preserve">60 723,6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highlight w:val="cyan"/>
              </w:rPr>
            </w:pPr>
            <w:r>
              <w:rPr>
                <w:rFonts w:eastAsia="Times New Roman"/>
                <w:highlight w:val="none"/>
              </w:rPr>
              <w:t xml:space="preserve">62 428,84</w:t>
            </w:r>
            <w:r>
              <w:rPr>
                <w:highlight w:val="cyan"/>
              </w:rPr>
            </w:r>
            <w:r>
              <w:rPr>
                <w:highlight w:val="cyan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5.7. Структура организаций, осуществляющих образовательную деятельность, реализующих дополнительные общеобразовательные программы (в том числе характеристика их филиалов)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5.7.1. Удельный вес чис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ла организаций, осуществляющих образовательную деятельность, реализующих дополнительные общеобразовательные программы, имеющих филиалы, в общем числе организаций, осуществляющих образовательную деятельность по дополнительным общеобразовательным программам.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6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 дополнительного образования, реализующих дополнительные общеобразовательные программы для детей, имеющих филиалы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858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 дополнительного образования (включая филиалы), реализующих дополнительные общеобразовательные программы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595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5.8. Создание безопасных условий при организации образовательного процесса в организациях, осуществляющих образовательную деятельность в части реализации дополнительных общеобразовательных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5.8.1. Удельный вес числа организаций, осуществляющих образовательную деятельность по дополнительным общеобразовательным программам, здания которых находятся в аварийном состоянии, в общем числе организаций дополнительного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организаций, осуществляющих образовательную деятельность по дополнительным общеобразовательным программам, здания которых находятся в аварийном состоянии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50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организаций, осуществляющих образовательную деятельность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5.8.2. Удельный вес числа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ремонта, в общем числе организаций дополнительного образования.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процент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11,1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организаций, осуществляющих образовательную деятельность по дополнительным общеобразовательным программам, здания которых требуют капитального ремонта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407" w:type="dxa"/>
            <w:textDirection w:val="lrTb"/>
            <w:noWrap w:val="false"/>
          </w:tcPr>
          <w:p>
            <w:pPr>
              <w:pStyle w:val="12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число организаций, осуществляющих образовательную деятельность по дополнительным общеобразовательным программам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189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единица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381" w:type="dxa"/>
            <w:textDirection w:val="lrTb"/>
            <w:noWrap w:val="false"/>
          </w:tcPr>
          <w:p>
            <w:pPr>
              <w:pStyle w:val="1204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департамента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О.С. Серебренникова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6838" w:h="11906" w:orient="landscape"/>
      <w:pgMar w:top="1701" w:right="1134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undefined">
    <w:panose1 w:val="02000603000000000000"/>
  </w:font>
  <w:font w:name="Sylfaen">
    <w:panose1 w:val="02040502050405020303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SimSun">
    <w:panose1 w:val="02000603000000000000"/>
  </w:font>
  <w:font w:name="Georgia">
    <w:panose1 w:val="02040502050405020303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1026"/>
        <w:jc w:val="both"/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</w:pPr>
      <w:r>
        <w:rPr>
          <w:rStyle w:val="1186"/>
          <w:rFonts w:ascii="Times New Roman" w:hAnsi="Times New Roman" w:eastAsia="Times New Roman" w:cs="Times New Roman"/>
          <w:i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i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Информация из отчета главы города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Нижневартовска за 2025 год, утвержденного решением Думы города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br/>
        <w:t xml:space="preserve">от 13 февраля 2026 года № 626. Доклад размещен на официальном сайте органов местного самоуправления города Нижневартовска: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</w:r>
      <w:hyperlink r:id="rId1" w:tooltip="https://www.n-vartovsk.ru/documents/dumaReshenie/13-02-2026/626.html" w:history="1">
        <w:r>
          <w:rPr>
            <w:rStyle w:val="1182"/>
            <w:rFonts w:ascii="Times New Roman" w:hAnsi="Times New Roman" w:eastAsia="Times New Roman" w:cs="Times New Roman"/>
            <w:i w:val="0"/>
            <w:iCs w:val="0"/>
            <w:sz w:val="18"/>
            <w:szCs w:val="18"/>
          </w:rPr>
          <w:t xml:space="preserve">https://www.n-vartovsk.ru/documents/dumaReshenie/13-02-2026/626.html</w:t>
        </w:r>
        <w:r>
          <w:rPr>
            <w:rStyle w:val="1182"/>
            <w:rFonts w:ascii="Times New Roman" w:hAnsi="Times New Roman" w:eastAsia="Times New Roman" w:cs="Times New Roman"/>
            <w:i/>
            <w:iCs/>
            <w:sz w:val="18"/>
            <w:szCs w:val="18"/>
          </w:rPr>
        </w:r>
      </w:hyperlink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и доклада главы города Нижневартовска «О достигнутых значениях показателей для оценки эффективности деятельности органов местного самоуправления города Нижневартовска за 2025 год и их планируемых значениях на 3-летний период». 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Доклад размещен на официальном сайте органов местного самоуправления города Нижневартовска: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 </w:t>
      </w:r>
      <w:hyperlink r:id="rId2" w:tooltip="https://www.n-vartovsk.ru/authorities/town_glava/doklad_glavy/" w:history="1">
        <w:r>
          <w:rPr>
            <w:rStyle w:val="1182"/>
            <w:rFonts w:ascii="Times New Roman" w:hAnsi="Times New Roman" w:eastAsia="Times New Roman" w:cs="Times New Roman"/>
            <w:i w:val="0"/>
            <w:iCs w:val="0"/>
            <w:sz w:val="18"/>
            <w:szCs w:val="18"/>
          </w:rPr>
          <w:t xml:space="preserve">https://www.n-vartovsk.ru/authorities/town_glava/doklad_glavy/</w:t>
        </w:r>
      </w:hyperlink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.</w:t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</w:r>
    </w:p>
  </w:footnote>
  <w:footnote w:id="3">
    <w:p>
      <w:pPr>
        <w:pStyle w:val="1026"/>
        <w:jc w:val="both"/>
        <w:rPr>
          <w:rFonts w:ascii="Times New Roman" w:hAnsi="Times New Roman" w:cs="Times New Roman"/>
          <w:i w:val="0"/>
          <w:iCs w:val="0"/>
          <w:sz w:val="18"/>
          <w:szCs w:val="18"/>
        </w:rPr>
      </w:pP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footnoteRef/>
      </w:r>
      <w:r>
        <w:rPr>
          <w:rFonts w:ascii="Times New Roman" w:hAnsi="Times New Roman" w:eastAsia="Times New Roman" w:cs="Times New Roman"/>
          <w:i w:val="0"/>
          <w:iCs w:val="0"/>
          <w:sz w:val="18"/>
          <w:szCs w:val="18"/>
        </w:rPr>
        <w:t xml:space="preserve"> П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  <w:t xml:space="preserve">о материалам, размещенным  на официальном сайте органов местного самоуправления города Нижневартовска: 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</w:r>
      <w:hyperlink r:id="rId3" w:tooltip="https://www.n-vartovsk.ru/documents/agRasp/31-03-2026/169.html" w:history="1">
        <w:r>
          <w:rPr>
            <w:rStyle w:val="1182"/>
            <w:rFonts w:ascii="Times New Roman" w:hAnsi="Times New Roman" w:cs="Times New Roman"/>
            <w:i w:val="0"/>
            <w:iCs w:val="0"/>
            <w:sz w:val="18"/>
            <w:szCs w:val="18"/>
          </w:rPr>
          <w:t xml:space="preserve">https://www.n-vartovsk.ru/documents/agRasp/31-03-2026/169.html</w:t>
        </w:r>
        <w:r>
          <w:rPr>
            <w:rStyle w:val="1182"/>
            <w:rFonts w:ascii="Times New Roman" w:hAnsi="Times New Roman" w:cs="Times New Roman"/>
            <w:i w:val="0"/>
            <w:iCs w:val="0"/>
            <w:sz w:val="18"/>
            <w:szCs w:val="18"/>
          </w:rPr>
        </w:r>
      </w:hyperlink>
      <w:r>
        <w:rPr>
          <w:rFonts w:ascii="Times New Roman" w:hAnsi="Times New Roman" w:cs="Times New Roman"/>
          <w:i w:val="0"/>
          <w:iCs w:val="0"/>
          <w:sz w:val="18"/>
          <w:szCs w:val="18"/>
        </w:rPr>
        <w:t xml:space="preserve"> </w:t>
      </w:r>
      <w:r>
        <w:rPr>
          <w:rFonts w:ascii="Times New Roman" w:hAnsi="Times New Roman" w:cs="Times New Roman"/>
          <w:i w:val="0"/>
          <w:iCs w:val="0"/>
          <w:sz w:val="18"/>
          <w:szCs w:val="18"/>
        </w:rPr>
      </w:r>
      <w:r>
        <w:rPr>
          <w:rFonts w:ascii="Times New Roman" w:hAnsi="Times New Roman" w:cs="Times New Roman"/>
          <w:i w:val="0"/>
          <w:iCs w:val="0"/>
          <w:sz w:val="18"/>
          <w:szCs w:val="18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i/>
          <w:color w:val="c00000"/>
          <w:sz w:val="18"/>
          <w:szCs w:val="18"/>
        </w:rPr>
      </w:pPr>
      <w:r>
        <w:rPr>
          <w:rFonts w:ascii="Times New Roman" w:hAnsi="Times New Roman" w:cs="Times New Roman"/>
          <w:i/>
          <w:color w:val="c00000"/>
          <w:sz w:val="18"/>
          <w:szCs w:val="18"/>
        </w:rPr>
      </w:r>
      <w:r>
        <w:rPr>
          <w:rFonts w:ascii="Times New Roman" w:hAnsi="Times New Roman" w:cs="Times New Roman"/>
          <w:i/>
          <w:color w:val="c00000"/>
          <w:sz w:val="18"/>
          <w:szCs w:val="18"/>
        </w:rPr>
      </w:r>
      <w:r>
        <w:rPr>
          <w:rFonts w:ascii="Times New Roman" w:hAnsi="Times New Roman" w:cs="Times New Roman"/>
          <w:i/>
          <w:color w:val="c00000"/>
          <w:sz w:val="18"/>
          <w:szCs w:val="18"/>
        </w:rPr>
      </w:r>
    </w:p>
  </w:footnote>
  <w:footnote w:id="4">
    <w:p>
      <w:pPr>
        <w:contextualSpacing/>
        <w:ind w:firstLine="426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118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Данные статистической формы №1-ДОД (утверждена приказом Росстата от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31.07.2024 №332</w:t>
      </w:r>
      <w:r>
        <w:rPr>
          <w:rFonts w:ascii="Times New Roman" w:hAnsi="Times New Roman" w:cs="Times New Roman"/>
          <w:sz w:val="20"/>
          <w:szCs w:val="20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 xml:space="preserve">Данные подтверждаются отчетами ДШИ, внесенными в информационную систему Министерства культуры Российской </w:t>
      </w:r>
      <w:r>
        <w:rPr>
          <w:rFonts w:ascii="Times New Roman" w:hAnsi="Times New Roman" w:cs="Times New Roman"/>
          <w:sz w:val="20"/>
          <w:szCs w:val="20"/>
        </w:rPr>
        <w:t xml:space="preserve">Ф</w:t>
      </w:r>
      <w:r>
        <w:rPr>
          <w:rFonts w:ascii="Times New Roman" w:hAnsi="Times New Roman" w:cs="Times New Roman"/>
          <w:sz w:val="20"/>
          <w:szCs w:val="20"/>
        </w:rPr>
        <w:t xml:space="preserve">едерации АИС "Статистика", в соответствии с методикой расчета да</w:t>
      </w:r>
      <w:r>
        <w:rPr>
          <w:rFonts w:ascii="Times New Roman" w:hAnsi="Times New Roman" w:cs="Times New Roman"/>
          <w:sz w:val="20"/>
          <w:szCs w:val="20"/>
        </w:rPr>
        <w:t xml:space="preserve">нных о численности детей в возрасте от 5 до 18 лет, охваченных дополнительными предпрофессиональными и общеразвивающими программами</w:t>
      </w:r>
      <w:r>
        <w:rPr>
          <w:rFonts w:ascii="Times New Roman" w:hAnsi="Times New Roman" w:cs="Times New Roman"/>
          <w:sz w:val="20"/>
          <w:szCs w:val="20"/>
        </w:rPr>
        <w:br/>
        <w:t xml:space="preserve">в области искусств в течение календарного года (нарастающим итогом), направленной письмом Министерства культуры Российской Ф</w:t>
      </w:r>
      <w:r>
        <w:rPr>
          <w:rFonts w:ascii="Times New Roman" w:hAnsi="Times New Roman" w:cs="Times New Roman"/>
          <w:sz w:val="20"/>
          <w:szCs w:val="20"/>
        </w:rPr>
        <w:t xml:space="preserve">едерации от 07.09.2021 №5169-06-1: общее количество детей в возрасте от 5 до 18 лет (18 лет не включается), принятых на обучение по дополнительным предпрофессиональным</w:t>
      </w:r>
      <w:r>
        <w:rPr>
          <w:rFonts w:ascii="Times New Roman" w:hAnsi="Times New Roman" w:cs="Times New Roman"/>
          <w:sz w:val="20"/>
          <w:szCs w:val="20"/>
        </w:rPr>
        <w:br/>
        <w:t xml:space="preserve">и общеразвивающим программам в области искусств в период с 1 января текущего календарног</w:t>
      </w:r>
      <w:r>
        <w:rPr>
          <w:rFonts w:ascii="Times New Roman" w:hAnsi="Times New Roman" w:cs="Times New Roman"/>
          <w:sz w:val="20"/>
          <w:szCs w:val="20"/>
        </w:rPr>
        <w:t xml:space="preserve">о года до конца отчетного года.</w:t>
      </w:r>
      <w:r>
        <w:rPr>
          <w:rFonts w:ascii="Times New Roman" w:hAnsi="Times New Roman" w:cs="Times New Roman"/>
          <w:sz w:val="20"/>
          <w:szCs w:val="20"/>
        </w:rPr>
        <w:t xml:space="preserve"> Учитываются все принятые на обучение дети вне зависимости от продолжительности их обучения в образовательной организации, включая отчисленных и </w:t>
      </w:r>
      <w:r>
        <w:rPr>
          <w:rFonts w:ascii="Times New Roman" w:hAnsi="Times New Roman" w:cs="Times New Roman"/>
          <w:sz w:val="20"/>
          <w:szCs w:val="20"/>
        </w:rPr>
        <w:t xml:space="preserve">выпустившихся</w:t>
      </w:r>
      <w:r>
        <w:rPr>
          <w:rFonts w:ascii="Times New Roman" w:hAnsi="Times New Roman" w:cs="Times New Roman"/>
          <w:sz w:val="20"/>
          <w:szCs w:val="20"/>
        </w:rPr>
        <w:t xml:space="preserve"> в течение календарного года.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5">
    <w:p>
      <w:pPr>
        <w:contextualSpacing/>
        <w:ind w:firstLine="426"/>
        <w:jc w:val="both"/>
        <w:spacing w:after="0" w:line="240" w:lineRule="auto"/>
        <w:tabs>
          <w:tab w:val="left" w:pos="567" w:leader="none"/>
          <w:tab w:val="left" w:pos="709" w:leader="none"/>
          <w:tab w:val="left" w:pos="850" w:leader="none"/>
        </w:tabs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 xml:space="preserve">ри расчете показателя учтена числе</w:t>
      </w:r>
      <w:r>
        <w:rPr>
          <w:rFonts w:ascii="Times New Roman" w:hAnsi="Times New Roman" w:cs="Times New Roman"/>
          <w:sz w:val="20"/>
          <w:szCs w:val="20"/>
        </w:rPr>
        <w:t xml:space="preserve">нность детей города Нижневартовска</w:t>
      </w:r>
      <w:r>
        <w:rPr>
          <w:rFonts w:ascii="Times New Roman" w:hAnsi="Times New Roman" w:cs="Times New Roman"/>
          <w:sz w:val="20"/>
          <w:szCs w:val="20"/>
        </w:rPr>
        <w:br/>
        <w:t xml:space="preserve">в возрасте от 5 до 18 лет (17 лет включительно) на начало отчетного года (51 029 человек), предоставленная департаментом экономического развития администрации города (27-Исх-3282 от 26.09.2025).</w:t>
      </w:r>
      <w:r>
        <w:rPr>
          <w:rFonts w:ascii="Times New Roman" w:hAnsi="Times New Roman" w:cs="Times New Roman"/>
          <w:color w:val="ff0000"/>
          <w:sz w:val="20"/>
          <w:szCs w:val="20"/>
        </w:rPr>
      </w:r>
      <w:r>
        <w:rPr>
          <w:rFonts w:ascii="Times New Roman" w:hAnsi="Times New Roman" w:cs="Times New Roman"/>
          <w:color w:val="ff0000"/>
          <w:sz w:val="20"/>
          <w:szCs w:val="20"/>
        </w:rPr>
      </w:r>
    </w:p>
  </w:footnote>
  <w:footnote w:id="6">
    <w:p>
      <w:pPr>
        <w:contextualSpacing/>
        <w:ind w:firstLine="426"/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Style w:val="1186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Данные статистической формы №1-ДОД (утверждена приказом Росстата от 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31.07.2024 №332</w:t>
      </w:r>
      <w:r>
        <w:rPr>
          <w:rFonts w:ascii="Times New Roman" w:hAnsi="Times New Roman" w:cs="Times New Roman"/>
          <w:sz w:val="20"/>
          <w:szCs w:val="20"/>
        </w:rPr>
        <w:t xml:space="preserve">)</w:t>
      </w:r>
      <w:r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</w:footnote>
  <w:footnote w:id="7">
    <w:p>
      <w:pPr>
        <w:contextualSpacing/>
        <w:ind w:firstLine="426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cs="Times New Roman"/>
          <w:color w:val="ff0000"/>
          <w:sz w:val="20"/>
          <w:szCs w:val="20"/>
          <w:highlight w:val="white"/>
        </w:rPr>
      </w:pPr>
      <w:r>
        <w:rPr>
          <w:rStyle w:val="1186"/>
          <w:rFonts w:ascii="Times New Roman" w:hAnsi="Times New Roman" w:eastAsia="Times New Roman" w:cs="Times New Roman"/>
        </w:rPr>
        <w:footnoteRef/>
      </w:r>
      <w:r>
        <w:rPr>
          <w:rFonts w:ascii="Times New Roman" w:hAnsi="Times New Roman" w:eastAsia="Times New Roman" w:cs="Times New Roman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 xml:space="preserve">ри расчете показателя учтена числе</w:t>
      </w:r>
      <w:r>
        <w:rPr>
          <w:rFonts w:ascii="Times New Roman" w:hAnsi="Times New Roman" w:cs="Times New Roman"/>
          <w:sz w:val="20"/>
          <w:szCs w:val="20"/>
        </w:rPr>
        <w:t xml:space="preserve">нность детей города Нижневартовска</w:t>
      </w:r>
      <w:r>
        <w:rPr>
          <w:rFonts w:ascii="Times New Roman" w:hAnsi="Times New Roman" w:cs="Times New Roman"/>
          <w:sz w:val="20"/>
          <w:szCs w:val="20"/>
        </w:rPr>
        <w:br/>
        <w:t xml:space="preserve">в возрасте от 5 до 18 лет (17 лет включительно) на начало отчетного года (50 756 человек), предоставленная департаментом экономического развития администрации гор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од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а (27-Исх-3002 от 13.09.2024)</w:t>
      </w:r>
      <w:r>
        <w:rPr>
          <w:rFonts w:ascii="Times New Roman" w:hAnsi="Times New Roman" w:cs="Times New Roman"/>
          <w:sz w:val="20"/>
          <w:szCs w:val="20"/>
          <w:highlight w:val="white"/>
        </w:rPr>
        <w:t xml:space="preserve">.</w:t>
      </w:r>
      <w:r>
        <w:rPr>
          <w:rFonts w:ascii="Times New Roman" w:hAnsi="Times New Roman" w:cs="Times New Roman"/>
          <w:color w:val="ff0000"/>
          <w:sz w:val="20"/>
          <w:szCs w:val="20"/>
          <w:highlight w:val="white"/>
        </w:rPr>
      </w:r>
      <w:r>
        <w:rPr>
          <w:rFonts w:ascii="Times New Roman" w:hAnsi="Times New Roman" w:cs="Times New Roman"/>
          <w:color w:val="ff0000"/>
          <w:sz w:val="20"/>
          <w:szCs w:val="20"/>
          <w:highlight w:val="white"/>
        </w:rPr>
      </w:r>
    </w:p>
  </w:footnote>
  <w:footnote w:id="8">
    <w:p>
      <w:pPr>
        <w:pStyle w:val="1184"/>
        <w:rPr>
          <w:rFonts w:ascii="Times New Roman" w:hAnsi="Times New Roman" w:cs="Times New Roman"/>
          <w:sz w:val="20"/>
          <w:szCs w:val="20"/>
          <w:highlight w:val="white"/>
        </w:rPr>
      </w:pPr>
      <w:r>
        <w:rPr>
          <w:rStyle w:val="1186"/>
          <w:rFonts w:ascii="Times New Roman" w:hAnsi="Times New Roman" w:eastAsia="Times New Roman" w:cs="Times New Roman"/>
          <w:sz w:val="20"/>
          <w:szCs w:val="20"/>
          <w:highlight w:val="white"/>
        </w:rPr>
        <w:footnoteRef/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 xml:space="preserve">П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 xml:space="preserve">оказатель 1.1.2. не рассчитан в связи с отсутствием </w:t>
      </w:r>
      <w:r>
        <w:rPr>
          <w:rFonts w:ascii="Times New Roman" w:hAnsi="Times New Roman" w:eastAsia="Times New Roman" w:cs="Times New Roman"/>
          <w:sz w:val="20"/>
          <w:szCs w:val="20"/>
          <w:highlight w:val="white"/>
        </w:rPr>
        <w:t xml:space="preserve">данных о демографии</w:t>
      </w:r>
      <w:r>
        <w:rPr>
          <w:rFonts w:ascii="Times New Roman" w:hAnsi="Times New Roman" w:cs="Times New Roman"/>
          <w:sz w:val="20"/>
          <w:szCs w:val="20"/>
          <w:highlight w:val="white"/>
        </w:rPr>
      </w:r>
      <w:r>
        <w:rPr>
          <w:rFonts w:ascii="Times New Roman" w:hAnsi="Times New Roman" w:cs="Times New Roman"/>
          <w:sz w:val="20"/>
          <w:szCs w:val="20"/>
          <w:highlight w:val="white"/>
        </w:rPr>
      </w:r>
    </w:p>
  </w:footnote>
  <w:footnote w:id="9">
    <w:p>
      <w:pPr>
        <w:pStyle w:val="1184"/>
        <w:jc w:val="both"/>
        <w:rPr>
          <w:rFonts w:ascii="Times New Roman" w:hAnsi="Times New Roman"/>
          <w:i/>
        </w:rPr>
      </w:pPr>
      <w:r>
        <w:rPr>
          <w:rStyle w:val="1186"/>
          <w:rFonts w:ascii="Times New Roman" w:hAnsi="Times New Roman"/>
          <w:i/>
        </w:rPr>
        <w:footnoteRef/>
      </w:r>
      <w:r>
        <w:rPr>
          <w:rFonts w:ascii="Times New Roman" w:hAnsi="Times New Roman"/>
          <w:i/>
        </w:rPr>
        <w:t xml:space="preserve"> Информация об обеспеченности пожарными кранами и рукавами, системами видеонаблюдения и "тревожной кнопки" заполнена в соответствии с Приказом </w:t>
      </w:r>
      <w:r>
        <w:rPr>
          <w:rFonts w:ascii="Times New Roman" w:hAnsi="Times New Roman"/>
          <w:i/>
        </w:rPr>
        <w:t xml:space="preserve">Минобрнауки</w:t>
      </w:r>
      <w:r>
        <w:rPr>
          <w:rFonts w:ascii="Times New Roman" w:hAnsi="Times New Roman"/>
          <w:i/>
        </w:rPr>
        <w:t xml:space="preserve"> России от 22.09.2017 № 955 "Об утверждении показателей мониторинга системы образования", начиная с отчета за 2017 год</w:t>
      </w: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</w:p>
    <w:p>
      <w:pPr>
        <w:pStyle w:val="1184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18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51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2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 w:cs="Times New Roman" w:eastAsiaTheme="minorHAnsi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89" w:hanging="108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4" w:hanging="100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29" w:hanging="360"/>
      </w:pPr>
      <w:rPr>
        <w:rFonts w:hint="default" w:ascii="Sylfaen" w:hAnsi="Sylfaen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2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ascii="Times New Roman" w:hAnsi="Times New Roman" w:eastAsia="Times New Roman" w:cs="Times New Roman"/>
        <w:b w:val="0"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1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42">
    <w:multiLevelType w:val="hybridMultilevel"/>
    <w:lvl w:ilvl="0">
      <w:start w:val="1"/>
      <w:numFmt w:val="bullet"/>
      <w:isLgl w:val="false"/>
      <w:suff w:val="tab"/>
      <w:lvlText w:val=""/>
      <w:lvlJc w:val="left"/>
      <w:pPr>
        <w:ind w:left="720" w:hanging="360"/>
        <w:tabs>
          <w:tab w:val="num" w:pos="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  <w:tabs>
          <w:tab w:val="num" w:pos="0" w:leader="none"/>
        </w:tabs>
      </w:pPr>
      <w:rPr>
        <w:rFonts w:ascii="Wingdings" w:hAnsi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  <w:tabs>
          <w:tab w:val="num" w:pos="0" w:leader="none"/>
        </w:tabs>
      </w:pPr>
      <w:rPr>
        <w:rFonts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  <w:tabs>
          <w:tab w:val="num" w:pos="0" w:leader="none"/>
        </w:tabs>
      </w:pPr>
      <w:rPr>
        <w:rFonts w:ascii="Wingdings" w:hAnsi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  <w:tabs>
          <w:tab w:val="num" w:pos="0" w:leader="none"/>
        </w:tabs>
      </w:pPr>
      <w:rPr>
        <w:rFonts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  <w:tabs>
          <w:tab w:val="num" w:pos="0" w:leader="none"/>
        </w:tabs>
      </w:pPr>
      <w:rPr>
        <w:rFonts w:ascii="Wingdings" w:hAnsi="Wingdings" w:cs="Wingdings"/>
      </w:rPr>
    </w:lvl>
  </w:abstractNum>
  <w:abstractNum w:abstractNumId="4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Times New Roman" w:hAnsi="Times New Roman" w:eastAsia="Times New Roman" w:cs="Times New Roman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2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38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6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7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6"/>
  </w:num>
  <w:num w:numId="6">
    <w:abstractNumId w:val="12"/>
  </w:num>
  <w:num w:numId="7">
    <w:abstractNumId w:val="11"/>
  </w:num>
  <w:num w:numId="8">
    <w:abstractNumId w:val="14"/>
  </w:num>
  <w:num w:numId="9">
    <w:abstractNumId w:val="10"/>
  </w:num>
  <w:num w:numId="10">
    <w:abstractNumId w:val="8"/>
  </w:num>
  <w:num w:numId="11">
    <w:abstractNumId w:val="15"/>
  </w:num>
  <w:num w:numId="12">
    <w:abstractNumId w:val="7"/>
  </w:num>
  <w:num w:numId="13">
    <w:abstractNumId w:val="6"/>
  </w:num>
  <w:num w:numId="14">
    <w:abstractNumId w:val="9"/>
  </w:num>
  <w:num w:numId="15">
    <w:abstractNumId w:val="0"/>
  </w:num>
  <w:num w:numId="16">
    <w:abstractNumId w:val="1"/>
  </w:num>
  <w:num w:numId="17">
    <w:abstractNumId w:val="13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  <w:num w:numId="59">
    <w:abstractNumId w:val="58"/>
  </w:num>
  <w:num w:numId="60">
    <w:abstractNumId w:val="59"/>
  </w:num>
  <w:num w:numId="61">
    <w:abstractNumId w:val="60"/>
  </w:num>
  <w:num w:numId="62">
    <w:abstractNumId w:val="61"/>
  </w:num>
  <w:num w:numId="63">
    <w:abstractNumId w:val="62"/>
  </w:num>
  <w:num w:numId="64">
    <w:abstractNumId w:val="63"/>
  </w:num>
  <w:num w:numId="65">
    <w:abstractNumId w:val="64"/>
  </w:num>
  <w:num w:numId="66">
    <w:abstractNumId w:val="65"/>
  </w:num>
  <w:num w:numId="67">
    <w:abstractNumId w:val="66"/>
  </w:num>
  <w:num w:numId="68">
    <w:abstractNumId w:val="67"/>
  </w:num>
  <w:num w:numId="69">
    <w:abstractNumId w:val="68"/>
  </w:num>
  <w:num w:numId="70">
    <w:abstractNumId w:val="69"/>
  </w:num>
  <w:num w:numId="71">
    <w:abstractNumId w:val="70"/>
  </w:num>
  <w:num w:numId="72">
    <w:abstractNumId w:val="71"/>
  </w:num>
  <w:num w:numId="73">
    <w:abstractNumId w:val="72"/>
  </w:num>
  <w:num w:numId="74">
    <w:abstractNumId w:val="73"/>
  </w:num>
  <w:num w:numId="75">
    <w:abstractNumId w:val="74"/>
  </w:num>
  <w:num w:numId="76">
    <w:abstractNumId w:val="75"/>
  </w:num>
  <w:num w:numId="77">
    <w:abstractNumId w:val="76"/>
  </w:num>
  <w:num w:numId="78">
    <w:abstractNumId w:val="77"/>
  </w:num>
  <w:num w:numId="79">
    <w:abstractNumId w:val="78"/>
  </w:num>
  <w:num w:numId="80">
    <w:abstractNumId w:val="79"/>
  </w:num>
  <w:num w:numId="81">
    <w:abstractNumId w:val="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993" w:default="1">
    <w:name w:val="Normal"/>
    <w:qFormat/>
  </w:style>
  <w:style w:type="paragraph" w:styleId="994">
    <w:name w:val="Heading 1"/>
    <w:basedOn w:val="993"/>
    <w:next w:val="993"/>
    <w:link w:val="1177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995">
    <w:name w:val="Heading 2"/>
    <w:basedOn w:val="993"/>
    <w:next w:val="993"/>
    <w:link w:val="10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996">
    <w:name w:val="Heading 3"/>
    <w:basedOn w:val="993"/>
    <w:next w:val="993"/>
    <w:link w:val="101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997">
    <w:name w:val="Heading 4"/>
    <w:basedOn w:val="993"/>
    <w:next w:val="993"/>
    <w:link w:val="10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998">
    <w:name w:val="Heading 5"/>
    <w:basedOn w:val="993"/>
    <w:next w:val="993"/>
    <w:link w:val="10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999">
    <w:name w:val="Heading 6"/>
    <w:basedOn w:val="993"/>
    <w:next w:val="993"/>
    <w:link w:val="10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1000">
    <w:name w:val="Heading 7"/>
    <w:basedOn w:val="993"/>
    <w:next w:val="993"/>
    <w:link w:val="102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1001">
    <w:name w:val="Heading 8"/>
    <w:basedOn w:val="993"/>
    <w:next w:val="993"/>
    <w:link w:val="1178"/>
    <w:qFormat/>
    <w:pPr>
      <w:jc w:val="center"/>
      <w:keepNext/>
      <w:spacing w:after="0" w:line="240" w:lineRule="auto"/>
      <w:outlineLvl w:val="7"/>
    </w:pPr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paragraph" w:styleId="1002">
    <w:name w:val="Heading 9"/>
    <w:basedOn w:val="993"/>
    <w:next w:val="993"/>
    <w:link w:val="102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1003" w:default="1">
    <w:name w:val="Default Paragraph Font"/>
    <w:uiPriority w:val="1"/>
    <w:semiHidden/>
    <w:unhideWhenUsed/>
  </w:style>
  <w:style w:type="table" w:styleId="10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1005" w:default="1">
    <w:name w:val="No List"/>
    <w:uiPriority w:val="99"/>
    <w:semiHidden/>
    <w:unhideWhenUsed/>
  </w:style>
  <w:style w:type="character" w:styleId="1006" w:customStyle="1">
    <w:name w:val="Heading 2 Char"/>
    <w:basedOn w:val="1003"/>
    <w:uiPriority w:val="9"/>
    <w:rPr>
      <w:rFonts w:ascii="Arial" w:hAnsi="Arial" w:eastAsia="Arial" w:cs="Arial"/>
      <w:sz w:val="34"/>
    </w:rPr>
  </w:style>
  <w:style w:type="character" w:styleId="1007" w:customStyle="1">
    <w:name w:val="Heading 3 Char"/>
    <w:basedOn w:val="1003"/>
    <w:uiPriority w:val="9"/>
    <w:rPr>
      <w:rFonts w:ascii="Arial" w:hAnsi="Arial" w:eastAsia="Arial" w:cs="Arial"/>
      <w:sz w:val="30"/>
      <w:szCs w:val="30"/>
    </w:rPr>
  </w:style>
  <w:style w:type="character" w:styleId="1008" w:customStyle="1">
    <w:name w:val="Heading 4 Char"/>
    <w:basedOn w:val="1003"/>
    <w:uiPriority w:val="9"/>
    <w:rPr>
      <w:rFonts w:ascii="Arial" w:hAnsi="Arial" w:eastAsia="Arial" w:cs="Arial"/>
      <w:b/>
      <w:bCs/>
      <w:sz w:val="26"/>
      <w:szCs w:val="26"/>
    </w:rPr>
  </w:style>
  <w:style w:type="character" w:styleId="1009" w:customStyle="1">
    <w:name w:val="Heading 5 Char"/>
    <w:basedOn w:val="1003"/>
    <w:uiPriority w:val="9"/>
    <w:rPr>
      <w:rFonts w:ascii="Arial" w:hAnsi="Arial" w:eastAsia="Arial" w:cs="Arial"/>
      <w:b/>
      <w:bCs/>
      <w:sz w:val="24"/>
      <w:szCs w:val="24"/>
    </w:rPr>
  </w:style>
  <w:style w:type="character" w:styleId="1010" w:customStyle="1">
    <w:name w:val="Heading 6 Char"/>
    <w:basedOn w:val="1003"/>
    <w:uiPriority w:val="9"/>
    <w:rPr>
      <w:rFonts w:ascii="Arial" w:hAnsi="Arial" w:eastAsia="Arial" w:cs="Arial"/>
      <w:b/>
      <w:bCs/>
      <w:sz w:val="22"/>
      <w:szCs w:val="22"/>
    </w:rPr>
  </w:style>
  <w:style w:type="character" w:styleId="1011" w:customStyle="1">
    <w:name w:val="Heading 7 Char"/>
    <w:basedOn w:val="10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12" w:customStyle="1">
    <w:name w:val="Heading 9 Char"/>
    <w:basedOn w:val="1003"/>
    <w:uiPriority w:val="9"/>
    <w:rPr>
      <w:rFonts w:ascii="Arial" w:hAnsi="Arial" w:eastAsia="Arial" w:cs="Arial"/>
      <w:i/>
      <w:iCs/>
      <w:sz w:val="21"/>
      <w:szCs w:val="21"/>
    </w:rPr>
  </w:style>
  <w:style w:type="character" w:styleId="1013" w:customStyle="1">
    <w:name w:val="Title Char"/>
    <w:basedOn w:val="1003"/>
    <w:uiPriority w:val="10"/>
    <w:rPr>
      <w:sz w:val="48"/>
      <w:szCs w:val="48"/>
    </w:rPr>
  </w:style>
  <w:style w:type="character" w:styleId="1014" w:customStyle="1">
    <w:name w:val="Subtitle Char"/>
    <w:basedOn w:val="1003"/>
    <w:uiPriority w:val="11"/>
    <w:rPr>
      <w:sz w:val="24"/>
      <w:szCs w:val="24"/>
    </w:rPr>
  </w:style>
  <w:style w:type="character" w:styleId="1015" w:customStyle="1">
    <w:name w:val="Quote Char"/>
    <w:uiPriority w:val="29"/>
    <w:rPr>
      <w:i/>
    </w:rPr>
  </w:style>
  <w:style w:type="character" w:styleId="1016" w:customStyle="1">
    <w:name w:val="Intense Quote Char"/>
    <w:uiPriority w:val="30"/>
    <w:rPr>
      <w:i/>
    </w:rPr>
  </w:style>
  <w:style w:type="character" w:styleId="1017" w:customStyle="1">
    <w:name w:val="Heading 1 Char"/>
    <w:basedOn w:val="1003"/>
    <w:uiPriority w:val="9"/>
    <w:rPr>
      <w:rFonts w:ascii="Arial" w:hAnsi="Arial" w:eastAsia="Arial" w:cs="Arial"/>
      <w:sz w:val="40"/>
      <w:szCs w:val="40"/>
    </w:rPr>
  </w:style>
  <w:style w:type="character" w:styleId="1018" w:customStyle="1">
    <w:name w:val="Заголовок 2 Знак"/>
    <w:basedOn w:val="1003"/>
    <w:link w:val="995"/>
    <w:uiPriority w:val="9"/>
    <w:rPr>
      <w:rFonts w:ascii="Arial" w:hAnsi="Arial" w:eastAsia="Arial" w:cs="Arial"/>
      <w:sz w:val="34"/>
    </w:rPr>
  </w:style>
  <w:style w:type="character" w:styleId="1019" w:customStyle="1">
    <w:name w:val="Заголовок 3 Знак"/>
    <w:basedOn w:val="1003"/>
    <w:link w:val="996"/>
    <w:uiPriority w:val="9"/>
    <w:rPr>
      <w:rFonts w:ascii="Arial" w:hAnsi="Arial" w:eastAsia="Arial" w:cs="Arial"/>
      <w:sz w:val="30"/>
      <w:szCs w:val="30"/>
    </w:rPr>
  </w:style>
  <w:style w:type="character" w:styleId="1020" w:customStyle="1">
    <w:name w:val="Заголовок 4 Знак"/>
    <w:basedOn w:val="1003"/>
    <w:link w:val="997"/>
    <w:uiPriority w:val="9"/>
    <w:rPr>
      <w:rFonts w:ascii="Arial" w:hAnsi="Arial" w:eastAsia="Arial" w:cs="Arial"/>
      <w:b/>
      <w:bCs/>
      <w:sz w:val="26"/>
      <w:szCs w:val="26"/>
    </w:rPr>
  </w:style>
  <w:style w:type="character" w:styleId="1021" w:customStyle="1">
    <w:name w:val="Заголовок 5 Знак"/>
    <w:basedOn w:val="1003"/>
    <w:link w:val="998"/>
    <w:uiPriority w:val="9"/>
    <w:rPr>
      <w:rFonts w:ascii="Arial" w:hAnsi="Arial" w:eastAsia="Arial" w:cs="Arial"/>
      <w:b/>
      <w:bCs/>
      <w:sz w:val="24"/>
      <w:szCs w:val="24"/>
    </w:rPr>
  </w:style>
  <w:style w:type="character" w:styleId="1022" w:customStyle="1">
    <w:name w:val="Заголовок 6 Знак"/>
    <w:basedOn w:val="1003"/>
    <w:link w:val="999"/>
    <w:uiPriority w:val="9"/>
    <w:rPr>
      <w:rFonts w:ascii="Arial" w:hAnsi="Arial" w:eastAsia="Arial" w:cs="Arial"/>
      <w:b/>
      <w:bCs/>
      <w:sz w:val="22"/>
      <w:szCs w:val="22"/>
    </w:rPr>
  </w:style>
  <w:style w:type="character" w:styleId="1023" w:customStyle="1">
    <w:name w:val="Заголовок 7 Знак"/>
    <w:basedOn w:val="1003"/>
    <w:link w:val="10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1024" w:customStyle="1">
    <w:name w:val="Heading 8 Char"/>
    <w:basedOn w:val="1003"/>
    <w:uiPriority w:val="9"/>
    <w:rPr>
      <w:rFonts w:ascii="Arial" w:hAnsi="Arial" w:eastAsia="Arial" w:cs="Arial"/>
      <w:i/>
      <w:iCs/>
      <w:sz w:val="22"/>
      <w:szCs w:val="22"/>
    </w:rPr>
  </w:style>
  <w:style w:type="character" w:styleId="1025" w:customStyle="1">
    <w:name w:val="Заголовок 9 Знак"/>
    <w:basedOn w:val="1003"/>
    <w:link w:val="1002"/>
    <w:uiPriority w:val="9"/>
    <w:rPr>
      <w:rFonts w:ascii="Arial" w:hAnsi="Arial" w:eastAsia="Arial" w:cs="Arial"/>
      <w:i/>
      <w:iCs/>
      <w:sz w:val="21"/>
      <w:szCs w:val="21"/>
    </w:rPr>
  </w:style>
  <w:style w:type="paragraph" w:styleId="1026">
    <w:name w:val="No Spacing"/>
    <w:uiPriority w:val="1"/>
    <w:qFormat/>
    <w:pPr>
      <w:spacing w:after="0" w:line="240" w:lineRule="auto"/>
    </w:pPr>
  </w:style>
  <w:style w:type="paragraph" w:styleId="1027">
    <w:name w:val="Title"/>
    <w:basedOn w:val="993"/>
    <w:next w:val="993"/>
    <w:link w:val="10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1028" w:customStyle="1">
    <w:name w:val="Заголовок Знак"/>
    <w:basedOn w:val="1003"/>
    <w:link w:val="1027"/>
    <w:uiPriority w:val="10"/>
    <w:rPr>
      <w:sz w:val="48"/>
      <w:szCs w:val="48"/>
    </w:rPr>
  </w:style>
  <w:style w:type="paragraph" w:styleId="1029">
    <w:name w:val="Subtitle"/>
    <w:basedOn w:val="993"/>
    <w:next w:val="993"/>
    <w:link w:val="1030"/>
    <w:uiPriority w:val="11"/>
    <w:qFormat/>
    <w:pPr>
      <w:spacing w:before="200" w:after="200"/>
    </w:pPr>
    <w:rPr>
      <w:sz w:val="24"/>
      <w:szCs w:val="24"/>
    </w:rPr>
  </w:style>
  <w:style w:type="character" w:styleId="1030" w:customStyle="1">
    <w:name w:val="Подзаголовок Знак"/>
    <w:basedOn w:val="1003"/>
    <w:link w:val="1029"/>
    <w:uiPriority w:val="11"/>
    <w:rPr>
      <w:sz w:val="24"/>
      <w:szCs w:val="24"/>
    </w:rPr>
  </w:style>
  <w:style w:type="paragraph" w:styleId="1031">
    <w:name w:val="Quote"/>
    <w:basedOn w:val="993"/>
    <w:next w:val="993"/>
    <w:link w:val="1032"/>
    <w:uiPriority w:val="29"/>
    <w:qFormat/>
    <w:pPr>
      <w:ind w:left="720" w:right="720"/>
    </w:pPr>
    <w:rPr>
      <w:i/>
    </w:rPr>
  </w:style>
  <w:style w:type="character" w:styleId="1032" w:customStyle="1">
    <w:name w:val="Цитата 2 Знак"/>
    <w:link w:val="1031"/>
    <w:uiPriority w:val="29"/>
    <w:rPr>
      <w:i/>
    </w:rPr>
  </w:style>
  <w:style w:type="paragraph" w:styleId="1033">
    <w:name w:val="Intense Quote"/>
    <w:basedOn w:val="993"/>
    <w:next w:val="993"/>
    <w:link w:val="10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1034" w:customStyle="1">
    <w:name w:val="Выделенная цитата Знак"/>
    <w:link w:val="1033"/>
    <w:uiPriority w:val="30"/>
    <w:rPr>
      <w:i/>
    </w:rPr>
  </w:style>
  <w:style w:type="character" w:styleId="1035" w:customStyle="1">
    <w:name w:val="Header Char"/>
    <w:basedOn w:val="1003"/>
    <w:uiPriority w:val="99"/>
  </w:style>
  <w:style w:type="character" w:styleId="1036" w:customStyle="1">
    <w:name w:val="Footer Char"/>
    <w:basedOn w:val="1003"/>
    <w:uiPriority w:val="99"/>
  </w:style>
  <w:style w:type="paragraph" w:styleId="1037">
    <w:name w:val="Caption"/>
    <w:basedOn w:val="993"/>
    <w:next w:val="993"/>
    <w:link w:val="103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1038" w:customStyle="1">
    <w:name w:val="Caption Char"/>
    <w:uiPriority w:val="99"/>
  </w:style>
  <w:style w:type="table" w:styleId="1039" w:customStyle="1">
    <w:name w:val="Table Grid Light"/>
    <w:basedOn w:val="10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040">
    <w:name w:val="Plain Table 1"/>
    <w:basedOn w:val="10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41">
    <w:name w:val="Plain Table 2"/>
    <w:basedOn w:val="10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1042">
    <w:name w:val="Plain Table 3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1043">
    <w:name w:val="Plain Table 4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4">
    <w:name w:val="Plain Table 5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1045">
    <w:name w:val="Grid Table 1 Light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6" w:customStyle="1">
    <w:name w:val="Grid Table 1 Light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7" w:customStyle="1">
    <w:name w:val="Grid Table 1 Light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8" w:customStyle="1">
    <w:name w:val="Grid Table 1 Light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49" w:customStyle="1">
    <w:name w:val="Grid Table 1 Light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0" w:customStyle="1">
    <w:name w:val="Grid Table 1 Light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1" w:customStyle="1">
    <w:name w:val="Grid Table 1 Light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2">
    <w:name w:val="Grid Table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3" w:customStyle="1">
    <w:name w:val="Grid Table 2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4" w:customStyle="1">
    <w:name w:val="Grid Table 2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5" w:customStyle="1">
    <w:name w:val="Grid Table 2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6" w:customStyle="1">
    <w:name w:val="Grid Table 2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7" w:customStyle="1">
    <w:name w:val="Grid Table 2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8" w:customStyle="1">
    <w:name w:val="Grid Table 2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9">
    <w:name w:val="Grid Table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0" w:customStyle="1">
    <w:name w:val="Grid Table 3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1" w:customStyle="1">
    <w:name w:val="Grid Table 3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2" w:customStyle="1">
    <w:name w:val="Grid Table 3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3" w:customStyle="1">
    <w:name w:val="Grid Table 3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4" w:customStyle="1">
    <w:name w:val="Grid Table 3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5" w:customStyle="1">
    <w:name w:val="Grid Table 3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6">
    <w:name w:val="Grid Table 4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67" w:customStyle="1">
    <w:name w:val="Grid Table 4 - Accent 1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1068" w:customStyle="1">
    <w:name w:val="Grid Table 4 - Accent 2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1069" w:customStyle="1">
    <w:name w:val="Grid Table 4 - Accent 3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1070" w:customStyle="1">
    <w:name w:val="Grid Table 4 - Accent 4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1071" w:customStyle="1">
    <w:name w:val="Grid Table 4 - Accent 5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1072" w:customStyle="1">
    <w:name w:val="Grid Table 4 - Accent 6"/>
    <w:basedOn w:val="10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1073">
    <w:name w:val="Grid Table 5 Dark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1074" w:customStyle="1">
    <w:name w:val="Grid Table 5 Dark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1075" w:customStyle="1">
    <w:name w:val="Grid Table 5 Dark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1076" w:customStyle="1">
    <w:name w:val="Grid Table 5 Dark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1077" w:customStyle="1">
    <w:name w:val="Grid Table 5 Dark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1078" w:customStyle="1">
    <w:name w:val="Grid Table 5 Dark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1079" w:customStyle="1">
    <w:name w:val="Grid Table 5 Dark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1080">
    <w:name w:val="Grid Table 6 Colorful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81" w:customStyle="1">
    <w:name w:val="Grid Table 6 Colorful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1082" w:customStyle="1">
    <w:name w:val="Grid Table 6 Colorful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1083" w:customStyle="1">
    <w:name w:val="Grid Table 6 Colorful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1084" w:customStyle="1">
    <w:name w:val="Grid Table 6 Colorful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1085" w:customStyle="1">
    <w:name w:val="Grid Table 6 Colorful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086" w:customStyle="1">
    <w:name w:val="Grid Table 6 Colorful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1087">
    <w:name w:val="Grid Table 7 Colorful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8" w:customStyle="1">
    <w:name w:val="Grid Table 7 Colorful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89" w:customStyle="1">
    <w:name w:val="Grid Table 7 Colorful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0" w:customStyle="1">
    <w:name w:val="Grid Table 7 Colorful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1" w:customStyle="1">
    <w:name w:val="Grid Table 7 Colorful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2" w:customStyle="1">
    <w:name w:val="Grid Table 7 Colorful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3" w:customStyle="1">
    <w:name w:val="Grid Table 7 Colorful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94">
    <w:name w:val="List Table 1 Light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5" w:customStyle="1">
    <w:name w:val="List Table 1 Light - Accent 1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6" w:customStyle="1">
    <w:name w:val="List Table 1 Light - Accent 2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7" w:customStyle="1">
    <w:name w:val="List Table 1 Light - Accent 3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8" w:customStyle="1">
    <w:name w:val="List Table 1 Light - Accent 4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9" w:customStyle="1">
    <w:name w:val="List Table 1 Light - Accent 5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0" w:customStyle="1">
    <w:name w:val="List Table 1 Light - Accent 6"/>
    <w:basedOn w:val="10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1">
    <w:name w:val="List Table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102" w:customStyle="1">
    <w:name w:val="List Table 2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1103" w:customStyle="1">
    <w:name w:val="List Table 2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1104" w:customStyle="1">
    <w:name w:val="List Table 2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1105" w:customStyle="1">
    <w:name w:val="List Table 2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1106" w:customStyle="1">
    <w:name w:val="List Table 2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1107" w:customStyle="1">
    <w:name w:val="List Table 2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1108">
    <w:name w:val="List Table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09" w:customStyle="1">
    <w:name w:val="List Table 3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0" w:customStyle="1">
    <w:name w:val="List Table 3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1" w:customStyle="1">
    <w:name w:val="List Table 3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2" w:customStyle="1">
    <w:name w:val="List Table 3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3" w:customStyle="1">
    <w:name w:val="List Table 3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4" w:customStyle="1">
    <w:name w:val="List Table 3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5">
    <w:name w:val="List Table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6" w:customStyle="1">
    <w:name w:val="List Table 4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7" w:customStyle="1">
    <w:name w:val="List Table 4 - Accent 2"/>
    <w:basedOn w:val="1004"/>
    <w:link w:val="1218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8" w:customStyle="1">
    <w:name w:val="List Table 4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19" w:customStyle="1">
    <w:name w:val="List Table 4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0" w:customStyle="1">
    <w:name w:val="List Table 4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1" w:customStyle="1">
    <w:name w:val="List Table 4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22">
    <w:name w:val="List Table 5 Dark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3" w:customStyle="1">
    <w:name w:val="List Table 5 Dark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4" w:customStyle="1">
    <w:name w:val="List Table 5 Dark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5" w:customStyle="1">
    <w:name w:val="List Table 5 Dark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6" w:customStyle="1">
    <w:name w:val="List Table 5 Dark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7" w:customStyle="1">
    <w:name w:val="List Table 5 Dark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8" w:customStyle="1">
    <w:name w:val="List Table 5 Dark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129">
    <w:name w:val="List Table 6 Colorful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130" w:customStyle="1">
    <w:name w:val="List Table 6 Colorful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1131" w:customStyle="1">
    <w:name w:val="List Table 6 Colorful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1132" w:customStyle="1">
    <w:name w:val="List Table 6 Colorful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1133" w:customStyle="1">
    <w:name w:val="List Table 6 Colorful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1134" w:customStyle="1">
    <w:name w:val="List Table 6 Colorful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1135" w:customStyle="1">
    <w:name w:val="List Table 6 Colorful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1136">
    <w:name w:val="List Table 7 Colorful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7" w:customStyle="1">
    <w:name w:val="List Table 7 Colorful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8" w:customStyle="1">
    <w:name w:val="List Table 7 Colorful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39" w:customStyle="1">
    <w:name w:val="List Table 7 Colorful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0" w:customStyle="1">
    <w:name w:val="List Table 7 Colorful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1" w:customStyle="1">
    <w:name w:val="List Table 7 Colorful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2" w:customStyle="1">
    <w:name w:val="List Table 7 Colorful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143" w:customStyle="1">
    <w:name w:val="Lined - Accent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44" w:customStyle="1">
    <w:name w:val="Lined - Accent 1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45" w:customStyle="1">
    <w:name w:val="Lined - Accent 2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46" w:customStyle="1">
    <w:name w:val="Lined - Accent 3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47" w:customStyle="1">
    <w:name w:val="Lined - Accent 4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48" w:customStyle="1">
    <w:name w:val="Lined - Accent 5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49" w:customStyle="1">
    <w:name w:val="Lined - Accent 6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50" w:customStyle="1">
    <w:name w:val="Bordered &amp; Lined - Accent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151" w:customStyle="1">
    <w:name w:val="Bordered &amp; Lined - Accent 1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1152" w:customStyle="1">
    <w:name w:val="Bordered &amp; Lined - Accent 2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1153" w:customStyle="1">
    <w:name w:val="Bordered &amp; Lined - Accent 3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1154" w:customStyle="1">
    <w:name w:val="Bordered &amp; Lined - Accent 4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1155" w:customStyle="1">
    <w:name w:val="Bordered &amp; Lined - Accent 5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1156" w:customStyle="1">
    <w:name w:val="Bordered &amp; Lined - Accent 6"/>
    <w:basedOn w:val="10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1157" w:customStyle="1">
    <w:name w:val="Bordered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58" w:customStyle="1">
    <w:name w:val="Bordered - Accent 1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1159" w:customStyle="1">
    <w:name w:val="Bordered - Accent 2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1160" w:customStyle="1">
    <w:name w:val="Bordered - Accent 3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1161" w:customStyle="1">
    <w:name w:val="Bordered - Accent 4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1162" w:customStyle="1">
    <w:name w:val="Bordered - Accent 5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1163" w:customStyle="1">
    <w:name w:val="Bordered - Accent 6"/>
    <w:basedOn w:val="10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1164" w:customStyle="1">
    <w:name w:val="Footnote Text Char"/>
    <w:uiPriority w:val="99"/>
    <w:rPr>
      <w:sz w:val="18"/>
    </w:rPr>
  </w:style>
  <w:style w:type="character" w:styleId="1165" w:customStyle="1">
    <w:name w:val="Endnote Text Char"/>
    <w:uiPriority w:val="99"/>
    <w:rPr>
      <w:sz w:val="20"/>
    </w:rPr>
  </w:style>
  <w:style w:type="paragraph" w:styleId="1166">
    <w:name w:val="toc 1"/>
    <w:basedOn w:val="993"/>
    <w:next w:val="993"/>
    <w:uiPriority w:val="39"/>
    <w:unhideWhenUsed/>
    <w:pPr>
      <w:spacing w:after="57"/>
    </w:pPr>
  </w:style>
  <w:style w:type="paragraph" w:styleId="1167">
    <w:name w:val="toc 2"/>
    <w:basedOn w:val="993"/>
    <w:next w:val="993"/>
    <w:uiPriority w:val="39"/>
    <w:unhideWhenUsed/>
    <w:pPr>
      <w:ind w:left="283"/>
      <w:spacing w:after="57"/>
    </w:pPr>
  </w:style>
  <w:style w:type="paragraph" w:styleId="1168">
    <w:name w:val="toc 3"/>
    <w:basedOn w:val="993"/>
    <w:next w:val="993"/>
    <w:uiPriority w:val="39"/>
    <w:unhideWhenUsed/>
    <w:pPr>
      <w:ind w:left="567"/>
      <w:spacing w:after="57"/>
    </w:pPr>
  </w:style>
  <w:style w:type="paragraph" w:styleId="1169">
    <w:name w:val="toc 4"/>
    <w:basedOn w:val="993"/>
    <w:next w:val="993"/>
    <w:uiPriority w:val="39"/>
    <w:unhideWhenUsed/>
    <w:pPr>
      <w:ind w:left="850"/>
      <w:spacing w:after="57"/>
    </w:pPr>
  </w:style>
  <w:style w:type="paragraph" w:styleId="1170">
    <w:name w:val="toc 5"/>
    <w:basedOn w:val="993"/>
    <w:next w:val="993"/>
    <w:uiPriority w:val="39"/>
    <w:unhideWhenUsed/>
    <w:pPr>
      <w:ind w:left="1134"/>
      <w:spacing w:after="57"/>
    </w:pPr>
  </w:style>
  <w:style w:type="paragraph" w:styleId="1171">
    <w:name w:val="toc 6"/>
    <w:basedOn w:val="993"/>
    <w:next w:val="993"/>
    <w:uiPriority w:val="39"/>
    <w:unhideWhenUsed/>
    <w:pPr>
      <w:ind w:left="1417"/>
      <w:spacing w:after="57"/>
    </w:pPr>
  </w:style>
  <w:style w:type="paragraph" w:styleId="1172">
    <w:name w:val="toc 7"/>
    <w:basedOn w:val="993"/>
    <w:next w:val="993"/>
    <w:uiPriority w:val="39"/>
    <w:unhideWhenUsed/>
    <w:pPr>
      <w:ind w:left="1701"/>
      <w:spacing w:after="57"/>
    </w:pPr>
  </w:style>
  <w:style w:type="paragraph" w:styleId="1173">
    <w:name w:val="toc 8"/>
    <w:basedOn w:val="993"/>
    <w:next w:val="993"/>
    <w:uiPriority w:val="39"/>
    <w:unhideWhenUsed/>
    <w:pPr>
      <w:ind w:left="1984"/>
      <w:spacing w:after="57"/>
    </w:pPr>
  </w:style>
  <w:style w:type="paragraph" w:styleId="1174">
    <w:name w:val="toc 9"/>
    <w:basedOn w:val="993"/>
    <w:next w:val="993"/>
    <w:uiPriority w:val="39"/>
    <w:unhideWhenUsed/>
    <w:pPr>
      <w:ind w:left="2268"/>
      <w:spacing w:after="57"/>
    </w:pPr>
  </w:style>
  <w:style w:type="paragraph" w:styleId="1175">
    <w:name w:val="TOC Heading"/>
    <w:uiPriority w:val="39"/>
    <w:unhideWhenUsed/>
  </w:style>
  <w:style w:type="paragraph" w:styleId="1176">
    <w:name w:val="table of figures"/>
    <w:basedOn w:val="993"/>
    <w:next w:val="993"/>
    <w:uiPriority w:val="99"/>
    <w:unhideWhenUsed/>
    <w:pPr>
      <w:spacing w:after="0"/>
    </w:pPr>
  </w:style>
  <w:style w:type="character" w:styleId="1177" w:customStyle="1">
    <w:name w:val="Заголовок 1 Знак"/>
    <w:basedOn w:val="1003"/>
    <w:link w:val="994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178" w:customStyle="1">
    <w:name w:val="Заголовок 8 Знак"/>
    <w:basedOn w:val="1003"/>
    <w:link w:val="1001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numbering" w:styleId="1179" w:customStyle="1">
    <w:name w:val="Нет списка1"/>
    <w:next w:val="1005"/>
    <w:uiPriority w:val="99"/>
    <w:semiHidden/>
  </w:style>
  <w:style w:type="paragraph" w:styleId="1180">
    <w:name w:val="Body Text 2"/>
    <w:basedOn w:val="993"/>
    <w:link w:val="1181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181" w:customStyle="1">
    <w:name w:val="Основной текст 2 Знак"/>
    <w:basedOn w:val="1003"/>
    <w:link w:val="1180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1182">
    <w:name w:val="Hyperlink"/>
    <w:uiPriority w:val="99"/>
    <w:unhideWhenUsed/>
    <w:rPr>
      <w:color w:val="0000ff"/>
      <w:u w:val="single"/>
    </w:rPr>
  </w:style>
  <w:style w:type="paragraph" w:styleId="1183" w:customStyle="1">
    <w:name w:val="Default"/>
    <w:pPr>
      <w:spacing w:after="0" w:line="240" w:lineRule="auto"/>
    </w:pPr>
    <w:rPr>
      <w:rFonts w:ascii="Georgia" w:hAnsi="Georgia" w:eastAsia="Calibri" w:cs="Georgia"/>
      <w:color w:val="000000"/>
      <w:sz w:val="24"/>
      <w:szCs w:val="24"/>
    </w:rPr>
  </w:style>
  <w:style w:type="paragraph" w:styleId="1184">
    <w:name w:val="footnote text"/>
    <w:basedOn w:val="993"/>
    <w:link w:val="1185"/>
    <w:uiPriority w:val="99"/>
    <w:unhideWhenUsed/>
    <w:pPr>
      <w:spacing w:after="0" w:line="240" w:lineRule="auto"/>
    </w:pPr>
    <w:rPr>
      <w:rFonts w:ascii="Calibri" w:hAnsi="Calibri" w:eastAsia="Calibri" w:cs="Times New Roman"/>
      <w:sz w:val="20"/>
      <w:szCs w:val="20"/>
    </w:rPr>
  </w:style>
  <w:style w:type="character" w:styleId="1185" w:customStyle="1">
    <w:name w:val="Текст сноски Знак"/>
    <w:basedOn w:val="1003"/>
    <w:link w:val="1184"/>
    <w:uiPriority w:val="99"/>
    <w:rPr>
      <w:rFonts w:ascii="Calibri" w:hAnsi="Calibri" w:eastAsia="Calibri" w:cs="Times New Roman"/>
      <w:sz w:val="20"/>
      <w:szCs w:val="20"/>
    </w:rPr>
  </w:style>
  <w:style w:type="character" w:styleId="1186">
    <w:name w:val="footnote reference"/>
    <w:uiPriority w:val="99"/>
    <w:unhideWhenUsed/>
    <w:rPr>
      <w:vertAlign w:val="superscript"/>
    </w:rPr>
  </w:style>
  <w:style w:type="table" w:styleId="1187">
    <w:name w:val="Table Grid"/>
    <w:basedOn w:val="1004"/>
    <w:uiPriority w:val="59"/>
    <w:pPr>
      <w:spacing w:after="0" w:line="240" w:lineRule="auto"/>
    </w:pPr>
    <w:rPr>
      <w:rFonts w:ascii="Calibri" w:hAnsi="Calibri" w:eastAsia="Calibri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188">
    <w:name w:val="Header"/>
    <w:basedOn w:val="993"/>
    <w:link w:val="118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</w:rPr>
  </w:style>
  <w:style w:type="character" w:styleId="1189" w:customStyle="1">
    <w:name w:val="Верхний колонтитул Знак"/>
    <w:basedOn w:val="1003"/>
    <w:link w:val="1188"/>
    <w:uiPriority w:val="99"/>
    <w:rPr>
      <w:rFonts w:ascii="Times New Roman" w:hAnsi="Times New Roman" w:eastAsia="Times New Roman" w:cs="Times New Roman"/>
      <w:sz w:val="24"/>
      <w:szCs w:val="24"/>
    </w:rPr>
  </w:style>
  <w:style w:type="paragraph" w:styleId="1190">
    <w:name w:val="Footer"/>
    <w:basedOn w:val="993"/>
    <w:link w:val="119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 w:eastAsia="Times New Roman" w:cs="Times New Roman"/>
      <w:sz w:val="24"/>
      <w:szCs w:val="24"/>
    </w:rPr>
  </w:style>
  <w:style w:type="character" w:styleId="1191" w:customStyle="1">
    <w:name w:val="Нижний колонтитул Знак"/>
    <w:basedOn w:val="1003"/>
    <w:link w:val="1190"/>
    <w:uiPriority w:val="99"/>
    <w:rPr>
      <w:rFonts w:ascii="Times New Roman" w:hAnsi="Times New Roman" w:eastAsia="Times New Roman" w:cs="Times New Roman"/>
      <w:sz w:val="24"/>
      <w:szCs w:val="24"/>
    </w:rPr>
  </w:style>
  <w:style w:type="character" w:styleId="1192">
    <w:name w:val="FollowedHyperlink"/>
    <w:uiPriority w:val="99"/>
    <w:unhideWhenUsed/>
    <w:rPr>
      <w:color w:val="800080"/>
      <w:u w:val="single"/>
    </w:rPr>
  </w:style>
  <w:style w:type="paragraph" w:styleId="1193">
    <w:name w:val="List Paragraph"/>
    <w:basedOn w:val="993"/>
    <w:uiPriority w:val="34"/>
    <w:qFormat/>
    <w:pPr>
      <w:contextualSpacing/>
      <w:ind w:left="720"/>
      <w:spacing w:line="256" w:lineRule="auto"/>
    </w:pPr>
    <w:rPr>
      <w:rFonts w:ascii="Calibri" w:hAnsi="Calibri" w:eastAsia="Calibri" w:cs="Times New Roman"/>
    </w:rPr>
  </w:style>
  <w:style w:type="paragraph" w:styleId="1194">
    <w:name w:val="Balloon Text"/>
    <w:basedOn w:val="993"/>
    <w:link w:val="1195"/>
    <w:uiPriority w:val="99"/>
    <w:unhideWhenUsed/>
    <w:pPr>
      <w:spacing w:after="0" w:line="240" w:lineRule="auto"/>
    </w:pPr>
    <w:rPr>
      <w:rFonts w:ascii="Tahoma" w:hAnsi="Tahoma" w:eastAsia="Times New Roman" w:cs="Times New Roman"/>
      <w:sz w:val="16"/>
      <w:szCs w:val="16"/>
    </w:rPr>
  </w:style>
  <w:style w:type="character" w:styleId="1195" w:customStyle="1">
    <w:name w:val="Текст выноски Знак"/>
    <w:basedOn w:val="1003"/>
    <w:link w:val="1194"/>
    <w:uiPriority w:val="99"/>
    <w:rPr>
      <w:rFonts w:ascii="Tahoma" w:hAnsi="Tahoma" w:eastAsia="Times New Roman" w:cs="Times New Roman"/>
      <w:sz w:val="16"/>
      <w:szCs w:val="16"/>
    </w:rPr>
  </w:style>
  <w:style w:type="paragraph" w:styleId="1196">
    <w:name w:val="Normal (Web)"/>
    <w:basedOn w:val="993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197" w:customStyle="1">
    <w:name w:val="xl24"/>
    <w:basedOn w:val="993"/>
    <w:pPr>
      <w:jc w:val="center"/>
      <w:spacing w:before="100" w:beforeAutospacing="1" w:after="100" w:afterAutospacing="1" w:line="240" w:lineRule="auto"/>
    </w:pPr>
    <w:rPr>
      <w:rFonts w:ascii="Times New Roman" w:hAnsi="Times New Roman" w:eastAsia="Arial Unicode MS" w:cs="Times New Roman"/>
      <w:sz w:val="24"/>
      <w:szCs w:val="24"/>
      <w:lang w:eastAsia="ru-RU"/>
    </w:rPr>
  </w:style>
  <w:style w:type="character" w:styleId="1198" w:customStyle="1">
    <w:name w:val="apple-converted-space"/>
  </w:style>
  <w:style w:type="paragraph" w:styleId="1199" w:customStyle="1">
    <w:name w:val="Обычный1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1200">
    <w:name w:val="endnote text"/>
    <w:basedOn w:val="993"/>
    <w:link w:val="1201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1201" w:customStyle="1">
    <w:name w:val="Текст концевой сноски Знак"/>
    <w:basedOn w:val="1003"/>
    <w:link w:val="1200"/>
    <w:uiPriority w:val="99"/>
    <w:semiHidden/>
    <w:rPr>
      <w:sz w:val="20"/>
      <w:szCs w:val="20"/>
    </w:rPr>
  </w:style>
  <w:style w:type="character" w:styleId="1202">
    <w:name w:val="endnote reference"/>
    <w:basedOn w:val="1003"/>
    <w:uiPriority w:val="99"/>
    <w:semiHidden/>
    <w:unhideWhenUsed/>
    <w:rPr>
      <w:vertAlign w:val="superscript"/>
    </w:rPr>
  </w:style>
  <w:style w:type="table" w:styleId="1203" w:customStyle="1">
    <w:name w:val="Сетка таблицы1"/>
    <w:basedOn w:val="1004"/>
    <w:next w:val="11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04" w:customStyle="1">
    <w:name w:val="ConsPlusNormal"/>
    <w:pPr>
      <w:spacing w:after="0" w:line="240" w:lineRule="auto"/>
      <w:widowControl w:val="off"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1205" w:customStyle="1">
    <w:name w:val="Текст сноски1"/>
    <w:basedOn w:val="993"/>
    <w:next w:val="1184"/>
    <w:uiPriority w:val="99"/>
    <w:semiHidden/>
    <w:unhideWhenUsed/>
    <w:pPr>
      <w:spacing w:after="0" w:line="240" w:lineRule="auto"/>
    </w:pPr>
    <w:rPr>
      <w:rFonts w:ascii="Calibri" w:hAnsi="Calibri" w:cs="Times New Roman"/>
      <w:sz w:val="20"/>
      <w:szCs w:val="20"/>
    </w:rPr>
  </w:style>
  <w:style w:type="character" w:styleId="1206" w:customStyle="1">
    <w:name w:val="Текст сноски Знак1"/>
    <w:basedOn w:val="1003"/>
    <w:uiPriority w:val="99"/>
    <w:semiHidden/>
    <w:rPr>
      <w:sz w:val="20"/>
      <w:szCs w:val="20"/>
    </w:rPr>
  </w:style>
  <w:style w:type="paragraph" w:styleId="1207" w:customStyle="1">
    <w:name w:val="Char Char"/>
    <w:basedOn w:val="993"/>
    <w:pPr>
      <w:ind w:firstLine="709"/>
      <w:jc w:val="both"/>
      <w:spacing w:after="0" w:line="360" w:lineRule="auto"/>
    </w:pPr>
    <w:rPr>
      <w:rFonts w:ascii="Times New Roman" w:hAnsi="Times New Roman" w:eastAsia="Times New Roman" w:cs="Times New Roman"/>
      <w:sz w:val="26"/>
      <w:szCs w:val="20"/>
    </w:rPr>
  </w:style>
  <w:style w:type="character" w:styleId="1208" w:customStyle="1">
    <w:name w:val="Основной текст_"/>
    <w:link w:val="1209"/>
    <w:rPr>
      <w:rFonts w:ascii="Times New Roman" w:hAnsi="Times New Roman" w:eastAsia="Times New Roman"/>
      <w:spacing w:val="4"/>
      <w:shd w:val="clear" w:color="auto" w:fill="ffffff"/>
    </w:rPr>
  </w:style>
  <w:style w:type="paragraph" w:styleId="1209" w:customStyle="1">
    <w:name w:val="Основной текст1"/>
    <w:basedOn w:val="993"/>
    <w:link w:val="1208"/>
    <w:pPr>
      <w:jc w:val="both"/>
      <w:spacing w:after="0" w:line="470" w:lineRule="exact"/>
      <w:shd w:val="clear" w:color="auto" w:fill="ffffff"/>
      <w:widowControl w:val="off"/>
    </w:pPr>
    <w:rPr>
      <w:rFonts w:ascii="Times New Roman" w:hAnsi="Times New Roman" w:eastAsia="Times New Roman"/>
      <w:spacing w:val="4"/>
    </w:rPr>
  </w:style>
  <w:style w:type="character" w:styleId="1210">
    <w:name w:val="annotation reference"/>
    <w:basedOn w:val="1003"/>
    <w:uiPriority w:val="99"/>
    <w:semiHidden/>
    <w:unhideWhenUsed/>
    <w:rPr>
      <w:sz w:val="16"/>
      <w:szCs w:val="16"/>
    </w:rPr>
  </w:style>
  <w:style w:type="paragraph" w:styleId="1211">
    <w:name w:val="annotation text"/>
    <w:basedOn w:val="993"/>
    <w:link w:val="121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1212" w:customStyle="1">
    <w:name w:val="Текст примечания Знак"/>
    <w:basedOn w:val="1003"/>
    <w:link w:val="1211"/>
    <w:uiPriority w:val="99"/>
    <w:semiHidden/>
    <w:rPr>
      <w:sz w:val="20"/>
      <w:szCs w:val="20"/>
    </w:rPr>
  </w:style>
  <w:style w:type="paragraph" w:styleId="1213">
    <w:name w:val="annotation subject"/>
    <w:basedOn w:val="1211"/>
    <w:next w:val="1211"/>
    <w:link w:val="1214"/>
    <w:uiPriority w:val="99"/>
    <w:semiHidden/>
    <w:unhideWhenUsed/>
    <w:rPr>
      <w:b/>
      <w:bCs/>
    </w:rPr>
  </w:style>
  <w:style w:type="character" w:styleId="1214" w:customStyle="1">
    <w:name w:val="Тема примечания Знак"/>
    <w:basedOn w:val="1212"/>
    <w:link w:val="1213"/>
    <w:uiPriority w:val="99"/>
    <w:semiHidden/>
    <w:rPr>
      <w:b/>
      <w:bCs/>
      <w:sz w:val="20"/>
      <w:szCs w:val="20"/>
    </w:rPr>
  </w:style>
  <w:style w:type="paragraph" w:styleId="1215">
    <w:name w:val="Revision"/>
    <w:hidden/>
    <w:uiPriority w:val="99"/>
    <w:semiHidden/>
    <w:pPr>
      <w:spacing w:after="0" w:line="240" w:lineRule="auto"/>
    </w:pPr>
  </w:style>
  <w:style w:type="table" w:styleId="1216" w:customStyle="1">
    <w:name w:val="Сетка таблицы2"/>
    <w:basedOn w:val="1004"/>
    <w:next w:val="1187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217" w:customStyle="1">
    <w:name w:val="Красная строка1"/>
    <w:uiPriority w:val="99"/>
    <w:unhideWhenUsed/>
    <w:pPr>
      <w:ind w:firstLine="210"/>
      <w:spacing w:after="12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1218" w:customStyle="1">
    <w:name w:val="Основной текст с отступом1"/>
    <w:link w:val="1117"/>
    <w:pPr>
      <w:ind w:firstLine="709"/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color w:val="000000"/>
      <w:sz w:val="28"/>
      <w:szCs w:val="28"/>
      <w:lang w:eastAsia="ru-RU"/>
    </w:rPr>
  </w:style>
  <w:style w:type="paragraph" w:styleId="1219" w:customStyle="1">
    <w:name w:val="Body Text Indent"/>
    <w:basedOn w:val="1063"/>
    <w:link w:val="1073"/>
    <w:pPr>
      <w:contextualSpacing w:val="0"/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220" w:customStyle="1">
    <w:name w:val="Оглавление 7 Знак"/>
    <w:basedOn w:val="1059"/>
    <w:next w:val="1093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1221" w:customStyle="1">
    <w:name w:val="markdown-word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jpg"/><Relationship Id="rId12" Type="http://schemas.openxmlformats.org/officeDocument/2006/relationships/hyperlink" Target="mailto:do@n-vartovsk.ru" TargetMode="External"/><Relationship Id="rId13" Type="http://schemas.openxmlformats.org/officeDocument/2006/relationships/hyperlink" Target="http://www.edu-nv.ru" TargetMode="External"/><Relationship Id="rId14" Type="http://schemas.openxmlformats.org/officeDocument/2006/relationships/hyperlink" Target="mailto:dsp@n-vartovsk.ru" TargetMode="External"/><Relationship Id="rId15" Type="http://schemas.openxmlformats.org/officeDocument/2006/relationships/hyperlink" Target="mailto:uk@n-vartovsk.ru" TargetMode="External"/><Relationship Id="rId16" Type="http://schemas.openxmlformats.org/officeDocument/2006/relationships/hyperlink" Target="mailto:dsp@n-vartovsk.ru" TargetMode="External"/><Relationship Id="rId17" Type="http://schemas.openxmlformats.org/officeDocument/2006/relationships/hyperlink" Target="http://tumstat.gks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www.n-vartovsk.ru/documents/dumaReshenie/13-02-2026/626.html" TargetMode="External"/><Relationship Id="rId2" Type="http://schemas.openxmlformats.org/officeDocument/2006/relationships/hyperlink" Target="https://www.n-vartovsk.ru/authorities/town_glava/doklad_glavy/" TargetMode="External"/><Relationship Id="rId3" Type="http://schemas.openxmlformats.org/officeDocument/2006/relationships/hyperlink" Target="https://www.n-vartovsk.ru/documents/agRasp/31-03-2026/169.html" TargetMode="External"/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342EA-23EF-40E2-869D-C796FA3ED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Слотюк Наталья Владимировна</dc:creator>
  <cp:lastModifiedBy>slotyuknv</cp:lastModifiedBy>
  <cp:revision>36</cp:revision>
  <dcterms:created xsi:type="dcterms:W3CDTF">2025-09-17T10:30:00Z</dcterms:created>
  <dcterms:modified xsi:type="dcterms:W3CDTF">2026-10-12T12:06:09Z</dcterms:modified>
</cp:coreProperties>
</file>