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/>
    </w:p>
    <w:p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</w:t>
      </w:r>
      <w:r>
        <w:rPr>
          <w:b/>
          <w:sz w:val="28"/>
          <w:szCs w:val="28"/>
        </w:rPr>
        <w:t xml:space="preserve">администрации города</w:t>
      </w:r>
      <w:r/>
    </w:p>
    <w:p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</w:t>
      </w:r>
      <w:r>
        <w:rPr>
          <w:b/>
          <w:sz w:val="28"/>
          <w:szCs w:val="28"/>
        </w:rPr>
        <w:t xml:space="preserve">Об установлении тарифов на услуги,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</w:t>
      </w:r>
      <w:r>
        <w:rPr>
          <w:b/>
          <w:sz w:val="28"/>
          <w:szCs w:val="28"/>
        </w:rPr>
        <w:t xml:space="preserve">вляемые </w:t>
      </w:r>
      <w:r>
        <w:rPr>
          <w:b/>
          <w:sz w:val="28"/>
          <w:szCs w:val="28"/>
        </w:rPr>
        <w:t xml:space="preserve">муниципальным автоном</w:t>
      </w:r>
      <w:r>
        <w:rPr>
          <w:b/>
          <w:bCs/>
          <w:sz w:val="28"/>
          <w:szCs w:val="28"/>
        </w:rPr>
        <w:t xml:space="preserve">ным учреждением дополнительного образования города Нижневартовска </w:t>
      </w:r>
      <w:r>
        <w:rPr>
          <w:b/>
          <w:bCs/>
          <w:sz w:val="28"/>
          <w:szCs w:val="28"/>
        </w:rPr>
        <w:t xml:space="preserve">"</w:t>
      </w:r>
      <w:r>
        <w:rPr>
          <w:b/>
          <w:bCs/>
          <w:sz w:val="28"/>
          <w:szCs w:val="28"/>
        </w:rPr>
        <w:t xml:space="preserve">Центр детского творчества</w:t>
      </w:r>
      <w:r>
        <w:rPr>
          <w:b/>
          <w:bCs/>
          <w:sz w:val="28"/>
          <w:szCs w:val="28"/>
        </w:rPr>
        <w:t xml:space="preserve">"</w:t>
      </w:r>
      <w:r>
        <w:rPr>
          <w:b/>
          <w:bCs/>
          <w:sz w:val="28"/>
          <w:szCs w:val="28"/>
        </w:rPr>
      </w:r>
      <w:r/>
    </w:p>
    <w:p>
      <w:pPr>
        <w:ind w:firstLine="708"/>
        <w:jc w:val="both"/>
        <w:spacing w:before="240"/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на дополнительные образовательные услуги разработан </w:t>
      </w:r>
      <w:r>
        <w:rPr>
          <w:sz w:val="28"/>
          <w:szCs w:val="28"/>
        </w:rPr>
        <w:t xml:space="preserve">в связи </w:t>
      </w:r>
      <w:r>
        <w:rPr>
          <w:sz w:val="28"/>
          <w:szCs w:val="28"/>
        </w:rPr>
        <w:t xml:space="preserve">                                       со вступлением </w:t>
      </w:r>
      <w:r>
        <w:rPr>
          <w:sz w:val="28"/>
          <w:szCs w:val="28"/>
        </w:rPr>
        <w:t xml:space="preserve">в силу постановления администрации города Нижневартовска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Нижневартовска", </w:t>
      </w:r>
      <w:r>
        <w:rPr>
          <w:sz w:val="28"/>
          <w:szCs w:val="28"/>
        </w:rPr>
        <w:t xml:space="preserve">повышением тариф</w:t>
      </w:r>
      <w:r>
        <w:rPr>
          <w:sz w:val="28"/>
          <w:szCs w:val="28"/>
        </w:rPr>
        <w:t xml:space="preserve">ов на платные услуги учреждения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пересмотром спектра услуг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 тарифов обусловлен изменением в системе оплаты труда работн</w:t>
      </w:r>
      <w:r>
        <w:rPr>
          <w:sz w:val="28"/>
          <w:szCs w:val="28"/>
        </w:rPr>
        <w:t xml:space="preserve">иков образовательных учреждений и</w:t>
      </w:r>
      <w:r>
        <w:rPr>
          <w:sz w:val="28"/>
          <w:szCs w:val="28"/>
        </w:rPr>
        <w:t xml:space="preserve"> увеличением стоимости расходных материалов, необходимых при ок</w:t>
      </w:r>
      <w:r>
        <w:rPr>
          <w:sz w:val="28"/>
          <w:szCs w:val="28"/>
        </w:rPr>
        <w:t xml:space="preserve">азании услуг.</w:t>
      </w:r>
      <w:r/>
      <w:r/>
    </w:p>
    <w:p>
      <w:pPr>
        <w:ind w:firstLine="708"/>
        <w:jc w:val="both"/>
        <w:spacing w:before="240"/>
      </w:pPr>
      <w:r>
        <w:rPr>
          <w:sz w:val="28"/>
          <w:szCs w:val="28"/>
        </w:rPr>
        <w:t xml:space="preserve">Тарифы рассчитаны методом экономически обоснованных расходов,  </w:t>
      </w:r>
      <w:r>
        <w:rPr>
          <w:sz w:val="28"/>
          <w:szCs w:val="28"/>
        </w:rPr>
        <w:t xml:space="preserve">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</w:t>
      </w:r>
      <w:r>
        <w:rPr>
          <w:sz w:val="28"/>
          <w:szCs w:val="28"/>
        </w:rPr>
        <w:t xml:space="preserve">утвержденный решением Думы города                               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города Нижневартовска".</w:t>
      </w:r>
      <w:r/>
      <w:r/>
    </w:p>
    <w:p>
      <w:pPr>
        <w:ind w:firstLine="708"/>
        <w:jc w:val="both"/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/>
    </w:p>
    <w:p>
      <w:pPr>
        <w:ind w:firstLine="708"/>
        <w:jc w:val="both"/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проекте</w:t>
      </w:r>
      <w:r>
        <w:rPr>
          <w:sz w:val="28"/>
          <w:szCs w:val="28"/>
        </w:rPr>
        <w:t xml:space="preserve"> постановления администрации города отсутствуют возможные риски нарушения антимонопольного законодательства.</w:t>
      </w:r>
      <w:r>
        <w:rPr>
          <w:sz w:val="28"/>
          <w:szCs w:val="28"/>
        </w:rPr>
      </w:r>
      <w:r/>
    </w:p>
    <w:p>
      <w:pPr>
        <w:ind w:firstLine="0"/>
        <w:jc w:val="both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ind w:firstLine="708"/>
        <w:jc w:val="both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ind w:right="-256"/>
      </w:pPr>
      <w:r/>
      <w:r/>
      <w:r/>
    </w:p>
    <w:p>
      <w:pPr>
        <w:ind w:right="-256"/>
      </w:pPr>
      <w:r>
        <w:rPr>
          <w:sz w:val="28"/>
          <w:szCs w:val="28"/>
        </w:rPr>
        <w:t xml:space="preserve">Начальник</w:t>
      </w:r>
      <w:r>
        <w:rPr>
          <w:sz w:val="28"/>
          <w:szCs w:val="28"/>
        </w:rPr>
        <w:t xml:space="preserve"> отдела мониторинга</w:t>
      </w:r>
      <w:r/>
      <w:r/>
    </w:p>
    <w:p>
      <w:pPr>
        <w:ind w:right="-256"/>
      </w:pPr>
      <w:r>
        <w:rPr>
          <w:sz w:val="28"/>
          <w:szCs w:val="28"/>
        </w:rPr>
        <w:t xml:space="preserve">и тарифного регулирования </w:t>
      </w:r>
      <w:r>
        <w:rPr>
          <w:sz w:val="28"/>
          <w:szCs w:val="28"/>
        </w:rPr>
      </w:r>
      <w:r/>
    </w:p>
    <w:p>
      <w:pPr>
        <w:ind w:right="-256"/>
      </w:pP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экономики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стратегического </w:t>
      </w:r>
      <w:r>
        <w:rPr>
          <w:sz w:val="28"/>
          <w:szCs w:val="28"/>
        </w:rPr>
      </w:r>
      <w:r/>
    </w:p>
    <w:p>
      <w:pPr>
        <w:ind w:right="-256"/>
      </w:pPr>
      <w:r>
        <w:rPr>
          <w:sz w:val="28"/>
          <w:szCs w:val="28"/>
        </w:rPr>
        <w:t xml:space="preserve">планирования</w:t>
      </w:r>
      <w:r>
        <w:rPr>
          <w:sz w:val="28"/>
          <w:szCs w:val="28"/>
        </w:rPr>
        <w:t xml:space="preserve"> департамента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/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экономического развития </w:t>
      </w:r>
      <w:r>
        <w:t xml:space="preserve">                                                                        </w:t>
      </w:r>
      <w:r>
        <w:rPr>
          <w:sz w:val="28"/>
          <w:szCs w:val="28"/>
        </w:rPr>
        <w:t xml:space="preserve">А.М. Фищенко</w:t>
      </w:r>
      <w:r/>
      <w:r/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6"/>
          <w:szCs w:val="26"/>
        </w:rPr>
      </w:pPr>
      <w:r>
        <w:rPr>
          <w:sz w:val="26"/>
          <w:szCs w:val="20"/>
        </w:rPr>
      </w:r>
      <w:r>
        <w:rPr>
          <w:sz w:val="26"/>
          <w:szCs w:val="20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0"/>
        </w:rPr>
      </w:r>
      <w:r/>
    </w:p>
    <w:p>
      <w:pPr>
        <w:jc w:val="both"/>
        <w:rPr>
          <w:sz w:val="26"/>
          <w:szCs w:val="20"/>
        </w:rPr>
      </w:pPr>
      <w:r>
        <w:rPr>
          <w:sz w:val="26"/>
          <w:szCs w:val="20"/>
        </w:rPr>
      </w:r>
      <w:r/>
    </w:p>
    <w:tbl>
      <w:tblPr>
        <w:tblW w:w="41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5"/>
      </w:tblGrid>
      <w:tr>
        <w:trPr>
          <w:trHeight w:val="234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25" w:type="dxa"/>
            <w:vAlign w:val="bottom"/>
            <w:textDirection w:val="lrTb"/>
            <w:noWrap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Исполнитель:</w:t>
            </w:r>
            <w:r/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главный специалист отдела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мониторинга</w:t>
            </w:r>
            <w:r>
              <w:rPr>
                <w:color w:val="000000"/>
                <w:sz w:val="20"/>
                <w:szCs w:val="20"/>
              </w:rPr>
              <w:t xml:space="preserve"> и тариф</w:t>
            </w:r>
            <w:r>
              <w:rPr>
                <w:color w:val="000000"/>
                <w:sz w:val="20"/>
                <w:szCs w:val="20"/>
              </w:rPr>
              <w:t xml:space="preserve">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регулирования управления</w:t>
            </w:r>
            <w:r/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экономики и стратегического планирования</w:t>
            </w:r>
            <w:r/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департамента экономического развития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t xml:space="preserve">администрации города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</w:r>
            <w:r/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Тунгускова Мария Игоревна</w:t>
            </w:r>
            <w:r/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 xml:space="preserve">тел.: 8 (3466) </w:t>
            </w:r>
            <w:r>
              <w:rPr>
                <w:color w:val="000000"/>
                <w:sz w:val="20"/>
                <w:szCs w:val="20"/>
              </w:rPr>
              <w:t xml:space="preserve">24-10-97</w:t>
            </w:r>
            <w:r>
              <w:rPr>
                <w:color w:val="000000"/>
                <w:sz w:val="20"/>
                <w:szCs w:val="20"/>
              </w:rPr>
              <w:t xml:space="preserve"> доб. </w:t>
            </w:r>
            <w:r>
              <w:rPr>
                <w:color w:val="000000"/>
                <w:sz w:val="20"/>
                <w:szCs w:val="20"/>
              </w:rPr>
              <w:t xml:space="preserve">28386</w:t>
            </w:r>
            <w:r/>
          </w:p>
        </w:tc>
      </w:tr>
    </w:tbl>
    <w:p>
      <w:pPr>
        <w:jc w:val="both"/>
        <w:rPr>
          <w:sz w:val="20"/>
          <w:szCs w:val="20"/>
        </w:rPr>
      </w:pPr>
      <w:r>
        <w:rPr>
          <w:sz w:val="20"/>
          <w:szCs w:val="20"/>
        </w:rPr>
      </w:r>
      <w:r/>
    </w:p>
    <w:sectPr>
      <w:footnotePr/>
      <w:endnotePr/>
      <w:type w:val="nextPage"/>
      <w:pgSz w:w="11906" w:h="16838" w:orient="portrait"/>
      <w:pgMar w:top="1134" w:right="850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0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45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50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0"/>
    <w:next w:val="830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1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0"/>
    <w:next w:val="830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1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1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1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1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1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1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1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0"/>
    <w:next w:val="830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1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0"/>
    <w:next w:val="830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1"/>
    <w:link w:val="675"/>
    <w:uiPriority w:val="10"/>
    <w:rPr>
      <w:sz w:val="48"/>
      <w:szCs w:val="48"/>
    </w:rPr>
  </w:style>
  <w:style w:type="paragraph" w:styleId="677">
    <w:name w:val="Subtitle"/>
    <w:basedOn w:val="830"/>
    <w:next w:val="830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1"/>
    <w:link w:val="677"/>
    <w:uiPriority w:val="11"/>
    <w:rPr>
      <w:sz w:val="24"/>
      <w:szCs w:val="24"/>
    </w:rPr>
  </w:style>
  <w:style w:type="paragraph" w:styleId="679">
    <w:name w:val="Quote"/>
    <w:basedOn w:val="830"/>
    <w:next w:val="830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0"/>
    <w:next w:val="830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1"/>
    <w:link w:val="836"/>
    <w:uiPriority w:val="99"/>
  </w:style>
  <w:style w:type="character" w:styleId="684">
    <w:name w:val="Footer Char"/>
    <w:basedOn w:val="831"/>
    <w:link w:val="839"/>
    <w:uiPriority w:val="99"/>
  </w:style>
  <w:style w:type="paragraph" w:styleId="685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39"/>
    <w:uiPriority w:val="99"/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sz w:val="24"/>
      <w:szCs w:val="24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table" w:styleId="834">
    <w:name w:val="Table Grid"/>
    <w:basedOn w:val="83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5">
    <w:name w:val="Balloon Text"/>
    <w:basedOn w:val="830"/>
    <w:semiHidden/>
    <w:rPr>
      <w:rFonts w:ascii="Tahoma" w:hAnsi="Tahoma" w:cs="Tahoma"/>
      <w:sz w:val="16"/>
      <w:szCs w:val="16"/>
    </w:rPr>
  </w:style>
  <w:style w:type="paragraph" w:styleId="836">
    <w:name w:val="Header"/>
    <w:basedOn w:val="830"/>
    <w:link w:val="837"/>
    <w:pPr>
      <w:tabs>
        <w:tab w:val="center" w:pos="4677" w:leader="none"/>
        <w:tab w:val="right" w:pos="9355" w:leader="none"/>
      </w:tabs>
    </w:pPr>
  </w:style>
  <w:style w:type="character" w:styleId="837" w:customStyle="1">
    <w:name w:val="Верхний колонтитул Знак"/>
    <w:basedOn w:val="831"/>
    <w:link w:val="836"/>
    <w:rPr>
      <w:sz w:val="24"/>
      <w:szCs w:val="24"/>
      <w:lang w:val="ru-RU" w:eastAsia="ru-RU" w:bidi="ar-SA"/>
    </w:rPr>
  </w:style>
  <w:style w:type="paragraph" w:styleId="838">
    <w:name w:val="List Paragraph"/>
    <w:basedOn w:val="830"/>
    <w:uiPriority w:val="34"/>
    <w:qFormat/>
    <w:pPr>
      <w:contextualSpacing/>
      <w:ind w:left="720"/>
    </w:pPr>
  </w:style>
  <w:style w:type="paragraph" w:styleId="839">
    <w:name w:val="Footer"/>
    <w:basedOn w:val="830"/>
    <w:link w:val="840"/>
    <w:unhideWhenUsed/>
    <w:pPr>
      <w:tabs>
        <w:tab w:val="center" w:pos="4677" w:leader="none"/>
        <w:tab w:val="right" w:pos="9355" w:leader="none"/>
      </w:tabs>
    </w:pPr>
  </w:style>
  <w:style w:type="character" w:styleId="840" w:customStyle="1">
    <w:name w:val="Нижний колонтитул Знак"/>
    <w:basedOn w:val="831"/>
    <w:link w:val="839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25FF8-A80E-4533-BC2E-1C8941939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Администрация г. Нижневартовска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revision>7</cp:revision>
  <dcterms:created xsi:type="dcterms:W3CDTF">2025-06-10T05:07:00Z</dcterms:created>
  <dcterms:modified xsi:type="dcterms:W3CDTF">2025-09-12T10:17:26Z</dcterms:modified>
</cp:coreProperties>
</file>